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АДМИНИСТРАЦИЯ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ИЛЬЕВСКОГО СЕЛЬСКОГО ПОСЕЛЕНИЯ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КАЛАЧЁВСКОГО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18"/>
        <w:widowControl/>
        <w:tabs>
          <w:tab w:val="clear" w:pos="708"/>
          <w:tab w:val="left" w:pos="8641" w:leader="none"/>
        </w:tabs>
        <w:spacing w:lineRule="auto" w:line="240" w:before="0" w:after="614"/>
        <w:ind w:left="20" w:hanging="0"/>
        <w:contextualSpacing/>
        <w:rPr>
          <w:sz w:val="28"/>
        </w:rPr>
      </w:pPr>
      <w:r>
        <w:rPr>
          <w:sz w:val="28"/>
        </w:rPr>
        <w:t>25.06.</w:t>
      </w:r>
      <w:r>
        <w:rPr>
          <w:sz w:val="28"/>
        </w:rPr>
        <w:t>2026 г</w:t>
      </w:r>
      <w:r>
        <w:rPr>
          <w:sz w:val="28"/>
        </w:rPr>
        <w:t>ода</w:t>
      </w:r>
      <w:r>
        <w:rPr>
          <w:sz w:val="28"/>
        </w:rPr>
        <w:t xml:space="preserve">                                                                                    № </w:t>
      </w:r>
      <w:r>
        <w:rPr>
          <w:sz w:val="28"/>
        </w:rPr>
        <w:t>95</w:t>
      </w:r>
      <w:bookmarkStart w:id="0" w:name="bookmark1"/>
    </w:p>
    <w:p>
      <w:pPr>
        <w:pStyle w:val="18"/>
        <w:widowControl/>
        <w:tabs>
          <w:tab w:val="clear" w:pos="708"/>
          <w:tab w:val="left" w:pos="8641" w:leader="none"/>
        </w:tabs>
        <w:spacing w:lineRule="auto" w:line="240" w:before="0" w:after="614"/>
        <w:ind w:left="20" w:hanging="0"/>
        <w:contextualSpacing/>
        <w:rPr>
          <w:sz w:val="28"/>
        </w:rPr>
      </w:pPr>
      <w:r>
        <w:rPr>
          <w:sz w:val="28"/>
        </w:rPr>
      </w:r>
    </w:p>
    <w:p>
      <w:pPr>
        <w:pStyle w:val="18"/>
        <w:widowControl/>
        <w:tabs>
          <w:tab w:val="clear" w:pos="708"/>
          <w:tab w:val="left" w:pos="8641" w:leader="none"/>
        </w:tabs>
        <w:spacing w:lineRule="auto" w:line="240" w:before="0" w:after="614"/>
        <w:ind w:left="20" w:hanging="0"/>
        <w:contextualSpacing/>
        <w:jc w:val="center"/>
        <w:rPr>
          <w:b/>
          <w:b/>
          <w:color w:val="auto"/>
          <w:sz w:val="28"/>
        </w:rPr>
      </w:pPr>
      <w:r>
        <w:rPr>
          <w:b/>
          <w:color w:val="auto"/>
          <w:sz w:val="28"/>
        </w:rPr>
        <w:t>Об утверждении Порядка формирования перечня налоговых расходов и оценки налоговых расходов Ильевского сельского поселения</w:t>
      </w:r>
      <w:bookmarkEnd w:id="0"/>
      <w:r>
        <w:rPr>
          <w:b/>
          <w:color w:val="auto"/>
          <w:sz w:val="28"/>
        </w:rPr>
        <w:t xml:space="preserve"> Калачевского муниципального района Волгоградской области</w:t>
      </w:r>
    </w:p>
    <w:p>
      <w:pPr>
        <w:pStyle w:val="18"/>
        <w:widowControl/>
        <w:tabs>
          <w:tab w:val="clear" w:pos="708"/>
          <w:tab w:val="left" w:pos="8641" w:leader="none"/>
        </w:tabs>
        <w:spacing w:lineRule="auto" w:line="240" w:before="0" w:after="614"/>
        <w:ind w:left="20" w:hanging="0"/>
        <w:contextualSpacing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18"/>
        <w:widowControl/>
        <w:spacing w:lineRule="auto" w:line="240" w:before="0" w:after="236"/>
        <w:ind w:left="20" w:right="40" w:firstLine="800"/>
        <w:contextualSpacing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В соответствии со статьей 174.3 Бюджетного кодекса Российской Федерации, постановлениями Правительства Российской Федерации от 12.04.2019 № 439 «Об утверждении Правил формирования перечня налоговых расходов Российской Федерации и оценки налоговых расходов Российской Федерации», от 22.06.2019 № 796 «Об общих требованиях к оценке налоговых расходов субъектов Российской Федерации и муниципальных образований», руководствуясь 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18"/>
        <w:widowControl/>
        <w:spacing w:lineRule="auto" w:line="240" w:before="0" w:after="236"/>
        <w:ind w:left="20" w:right="40" w:hanging="20"/>
        <w:contextualSpacing/>
        <w:jc w:val="center"/>
        <w:rPr>
          <w:color w:val="auto"/>
          <w:sz w:val="28"/>
        </w:rPr>
      </w:pPr>
      <w:r>
        <w:rPr>
          <w:b/>
          <w:color w:val="auto"/>
          <w:sz w:val="28"/>
        </w:rPr>
        <w:t>П О С Т А Н О В Л Я Е Т:</w:t>
      </w:r>
    </w:p>
    <w:p>
      <w:pPr>
        <w:pStyle w:val="18"/>
        <w:widowControl/>
        <w:tabs>
          <w:tab w:val="clear" w:pos="708"/>
          <w:tab w:val="left" w:pos="783" w:leader="none"/>
        </w:tabs>
        <w:spacing w:lineRule="auto" w:line="240" w:before="0" w:after="0"/>
        <w:ind w:right="40" w:firstLine="851"/>
        <w:jc w:val="both"/>
        <w:rPr>
          <w:color w:val="auto"/>
          <w:sz w:val="28"/>
        </w:rPr>
      </w:pPr>
      <w:r>
        <w:rPr>
          <w:color w:val="auto"/>
          <w:sz w:val="28"/>
        </w:rPr>
        <w:t>1. Утвердить Порядок формирования перечня налоговых расходов и оценки налоговых расходов Ильевского сельского поселения Калачевского муниципального района Волгоградской области.</w:t>
      </w:r>
    </w:p>
    <w:p>
      <w:pPr>
        <w:pStyle w:val="18"/>
        <w:widowControl/>
        <w:tabs>
          <w:tab w:val="clear" w:pos="708"/>
          <w:tab w:val="left" w:pos="783" w:leader="none"/>
        </w:tabs>
        <w:spacing w:lineRule="auto" w:line="240" w:before="0" w:after="0"/>
        <w:ind w:right="40" w:firstLine="851"/>
        <w:jc w:val="both"/>
        <w:rPr>
          <w:color w:val="auto"/>
          <w:sz w:val="28"/>
        </w:rPr>
      </w:pPr>
      <w:r>
        <w:rPr>
          <w:color w:val="auto"/>
          <w:sz w:val="28"/>
        </w:rPr>
        <w:t>2. Признать утратившими силу следующие постановления администрации Ильевского сельского поселения Калачевского муниципального района Волгоградской области:</w:t>
      </w:r>
    </w:p>
    <w:p>
      <w:pPr>
        <w:pStyle w:val="18"/>
        <w:widowControl/>
        <w:tabs>
          <w:tab w:val="clear" w:pos="708"/>
          <w:tab w:val="left" w:pos="783" w:leader="none"/>
        </w:tabs>
        <w:spacing w:lineRule="auto" w:line="240" w:before="0" w:after="0"/>
        <w:ind w:right="40" w:firstLine="851"/>
        <w:jc w:val="both"/>
        <w:rPr>
          <w:bCs/>
          <w:sz w:val="28"/>
          <w:szCs w:val="28"/>
          <w:shd w:fill="FFFFFF" w:val="clear"/>
        </w:rPr>
      </w:pPr>
      <w:r>
        <w:rPr>
          <w:color w:val="auto"/>
          <w:sz w:val="28"/>
          <w:szCs w:val="28"/>
        </w:rPr>
        <w:t xml:space="preserve">2.1. </w:t>
      </w:r>
      <w:r>
        <w:rPr>
          <w:bCs/>
          <w:sz w:val="28"/>
          <w:szCs w:val="28"/>
          <w:shd w:fill="FFFFFF" w:val="clear"/>
        </w:rPr>
        <w:t>20.12.2019 № 143 «</w:t>
      </w:r>
      <w:r>
        <w:rPr>
          <w:sz w:val="28"/>
          <w:szCs w:val="28"/>
          <w:shd w:fill="FFFFFF" w:val="clear"/>
        </w:rPr>
        <w:t>Об утверждении Порядка формирования перечня налоговых расходов Ильевского сельского поселения Калачевского муниципального района Волгоградской области</w:t>
      </w:r>
      <w:r>
        <w:rPr>
          <w:bCs/>
          <w:sz w:val="28"/>
          <w:szCs w:val="28"/>
          <w:shd w:fill="FFFFFF" w:val="clear"/>
        </w:rPr>
        <w:t>»;</w:t>
      </w:r>
    </w:p>
    <w:p>
      <w:pPr>
        <w:pStyle w:val="18"/>
        <w:widowControl/>
        <w:tabs>
          <w:tab w:val="clear" w:pos="708"/>
          <w:tab w:val="left" w:pos="783" w:leader="none"/>
        </w:tabs>
        <w:spacing w:lineRule="auto" w:line="240" w:before="0" w:after="0"/>
        <w:ind w:right="40" w:firstLine="851"/>
        <w:jc w:val="both"/>
        <w:rPr>
          <w:bCs/>
          <w:sz w:val="28"/>
          <w:szCs w:val="28"/>
          <w:shd w:fill="FFFFFF" w:val="clear"/>
        </w:rPr>
      </w:pPr>
      <w:r>
        <w:rPr>
          <w:bCs/>
          <w:sz w:val="28"/>
          <w:szCs w:val="28"/>
          <w:shd w:fill="FFFFFF" w:val="clear"/>
        </w:rPr>
        <w:t xml:space="preserve">2.2. </w:t>
      </w:r>
      <w:r>
        <w:rPr>
          <w:color w:val="auto"/>
          <w:sz w:val="28"/>
          <w:szCs w:val="28"/>
        </w:rPr>
        <w:t>01.02.2022 № 15 «</w:t>
      </w:r>
      <w:r>
        <w:rPr>
          <w:sz w:val="28"/>
          <w:szCs w:val="28"/>
          <w:shd w:fill="FFFFFF" w:val="clear"/>
        </w:rPr>
        <w:t>Об утверждении Порядка оценки налоговых расходов Ильевского сельского поселения Калачевского муниципального района Волгоградской области</w:t>
      </w:r>
      <w:r>
        <w:rPr>
          <w:color w:val="auto"/>
          <w:sz w:val="28"/>
          <w:szCs w:val="28"/>
        </w:rPr>
        <w:t>».</w:t>
      </w:r>
    </w:p>
    <w:p>
      <w:pPr>
        <w:pStyle w:val="18"/>
        <w:widowControl/>
        <w:tabs>
          <w:tab w:val="clear" w:pos="708"/>
          <w:tab w:val="left" w:pos="783" w:leader="none"/>
        </w:tabs>
        <w:spacing w:lineRule="auto" w:line="240" w:before="0" w:after="0"/>
        <w:ind w:right="4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Настоящее постановление подлежит официальному обнародованию.</w:t>
      </w:r>
    </w:p>
    <w:p>
      <w:pPr>
        <w:pStyle w:val="18"/>
        <w:widowControl/>
        <w:tabs>
          <w:tab w:val="clear" w:pos="708"/>
          <w:tab w:val="left" w:pos="783" w:leader="none"/>
        </w:tabs>
        <w:spacing w:lineRule="auto" w:line="240" w:before="0" w:after="0"/>
        <w:ind w:right="4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Контроль исполнения настоящего постановления оставляю за собой.</w:t>
      </w:r>
    </w:p>
    <w:p>
      <w:pPr>
        <w:pStyle w:val="18"/>
        <w:widowControl/>
        <w:spacing w:lineRule="exact" w:line="230" w:before="0" w:after="0"/>
        <w:ind w:left="20" w:hanging="0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18"/>
        <w:widowControl/>
        <w:spacing w:lineRule="exact" w:line="230" w:before="0" w:after="0"/>
        <w:ind w:left="20" w:hanging="0"/>
        <w:rPr>
          <w:color w:val="auto"/>
          <w:sz w:val="28"/>
        </w:rPr>
      </w:pPr>
      <w:r>
        <w:rPr>
          <w:color w:val="auto"/>
          <w:sz w:val="28"/>
        </w:rPr>
        <w:t xml:space="preserve">    </w:t>
      </w:r>
    </w:p>
    <w:p>
      <w:pPr>
        <w:pStyle w:val="18"/>
        <w:widowControl/>
        <w:spacing w:lineRule="exact" w:line="230" w:before="0" w:after="0"/>
        <w:ind w:left="20" w:hanging="0"/>
        <w:rPr>
          <w:sz w:val="28"/>
        </w:rPr>
      </w:pPr>
      <w:r>
        <w:rPr>
          <w:b/>
          <w:color w:val="auto"/>
          <w:sz w:val="28"/>
        </w:rPr>
        <w:t>Глава Ильевского сельского поселения</w:t>
        <w:tab/>
        <w:tab/>
        <w:t xml:space="preserve">               И.В. Горбатова</w:t>
      </w:r>
    </w:p>
    <w:p>
      <w:pPr>
        <w:pStyle w:val="18"/>
        <w:widowControl/>
        <w:spacing w:lineRule="exact" w:line="274" w:before="0" w:after="476"/>
        <w:ind w:left="5300" w:right="20" w:hanging="0"/>
        <w:jc w:val="right"/>
        <w:rPr>
          <w:sz w:val="24"/>
        </w:rPr>
      </w:pPr>
      <w:r>
        <w:rPr>
          <w:sz w:val="24"/>
        </w:rPr>
      </w:r>
    </w:p>
    <w:p>
      <w:pPr>
        <w:pStyle w:val="18"/>
        <w:widowControl/>
        <w:spacing w:lineRule="exact" w:line="274" w:before="0" w:after="476"/>
        <w:ind w:left="5300" w:right="20" w:hanging="0"/>
        <w:jc w:val="right"/>
        <w:rPr>
          <w:sz w:val="24"/>
        </w:rPr>
      </w:pPr>
      <w:r>
        <w:rPr>
          <w:sz w:val="24"/>
        </w:rPr>
      </w:r>
    </w:p>
    <w:p>
      <w:pPr>
        <w:pStyle w:val="18"/>
        <w:widowControl/>
        <w:spacing w:lineRule="exact" w:line="274" w:before="0" w:after="476"/>
        <w:ind w:left="5300" w:right="20" w:hanging="0"/>
        <w:jc w:val="right"/>
        <w:rPr>
          <w:sz w:val="24"/>
        </w:rPr>
      </w:pPr>
      <w:r>
        <w:rPr>
          <w:sz w:val="24"/>
        </w:rPr>
      </w:r>
    </w:p>
    <w:p>
      <w:pPr>
        <w:pStyle w:val="18"/>
        <w:widowControl/>
        <w:spacing w:lineRule="auto" w:line="240" w:before="0" w:after="476"/>
        <w:ind w:left="5300" w:right="20" w:hanging="0"/>
        <w:contextualSpacing/>
        <w:jc w:val="right"/>
        <w:rPr>
          <w:sz w:val="18"/>
        </w:rPr>
      </w:pPr>
      <w:r>
        <w:rPr>
          <w:sz w:val="18"/>
        </w:rPr>
      </w:r>
    </w:p>
    <w:p>
      <w:pPr>
        <w:pStyle w:val="18"/>
        <w:widowControl/>
        <w:spacing w:lineRule="auto" w:line="240" w:before="0" w:after="476"/>
        <w:ind w:left="5300" w:right="20" w:hanging="0"/>
        <w:contextualSpacing/>
        <w:jc w:val="right"/>
        <w:rPr>
          <w:sz w:val="18"/>
        </w:rPr>
      </w:pPr>
      <w:r>
        <w:rPr/>
      </w:r>
    </w:p>
    <w:p>
      <w:pPr>
        <w:pStyle w:val="18"/>
        <w:widowControl/>
        <w:spacing w:lineRule="auto" w:line="240" w:before="0" w:after="476"/>
        <w:ind w:left="5300" w:right="20" w:hanging="0"/>
        <w:contextualSpacing/>
        <w:jc w:val="right"/>
        <w:rPr>
          <w:sz w:val="18"/>
        </w:rPr>
      </w:pPr>
      <w:r>
        <w:rPr>
          <w:sz w:val="18"/>
        </w:rPr>
        <w:t xml:space="preserve">Приложение </w:t>
      </w:r>
    </w:p>
    <w:p>
      <w:pPr>
        <w:pStyle w:val="18"/>
        <w:widowControl/>
        <w:spacing w:lineRule="auto" w:line="240" w:before="0" w:after="476"/>
        <w:ind w:left="5300" w:right="20" w:hanging="0"/>
        <w:contextualSpacing/>
        <w:jc w:val="right"/>
        <w:rPr>
          <w:sz w:val="18"/>
        </w:rPr>
      </w:pPr>
      <w:r>
        <w:rPr>
          <w:sz w:val="18"/>
        </w:rPr>
        <w:t>к постановлению администрации Ильевского сельского поселения Калачевского муниципального района Волгоградской области</w:t>
      </w:r>
    </w:p>
    <w:p>
      <w:pPr>
        <w:pStyle w:val="18"/>
        <w:widowControl/>
        <w:spacing w:lineRule="auto" w:line="240" w:before="0" w:after="476"/>
        <w:ind w:left="5300" w:right="20" w:hanging="0"/>
        <w:contextualSpacing/>
        <w:jc w:val="right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 xml:space="preserve">от </w:t>
      </w:r>
      <w:r>
        <w:rPr>
          <w:sz w:val="18"/>
        </w:rPr>
        <w:t>25.06.</w:t>
      </w:r>
      <w:r>
        <w:rPr>
          <w:sz w:val="18"/>
        </w:rPr>
        <w:t xml:space="preserve">2026 г. №  </w:t>
      </w:r>
      <w:r>
        <w:rPr>
          <w:sz w:val="18"/>
        </w:rPr>
        <w:t>95</w:t>
      </w:r>
    </w:p>
    <w:p>
      <w:pPr>
        <w:pStyle w:val="18"/>
        <w:widowControl/>
        <w:spacing w:lineRule="auto" w:line="240" w:before="0" w:after="476"/>
        <w:ind w:left="5300" w:right="20" w:hanging="0"/>
        <w:contextualSpacing/>
        <w:jc w:val="right"/>
        <w:rPr>
          <w:sz w:val="24"/>
        </w:rPr>
      </w:pPr>
      <w:r>
        <w:rPr>
          <w:sz w:val="24"/>
        </w:rPr>
      </w:r>
    </w:p>
    <w:p>
      <w:pPr>
        <w:pStyle w:val="18"/>
        <w:widowControl/>
        <w:spacing w:lineRule="auto" w:line="240" w:before="0" w:after="476"/>
        <w:ind w:right="20" w:hanging="0"/>
        <w:contextualSpacing/>
        <w:rPr>
          <w:sz w:val="24"/>
        </w:rPr>
      </w:pPr>
      <w:r>
        <w:rPr>
          <w:sz w:val="24"/>
        </w:rPr>
      </w:r>
    </w:p>
    <w:p>
      <w:pPr>
        <w:pStyle w:val="18"/>
        <w:widowControl/>
        <w:spacing w:lineRule="auto" w:line="240" w:before="0" w:after="476"/>
        <w:ind w:left="5300" w:right="20" w:hanging="0"/>
        <w:contextualSpacing/>
        <w:jc w:val="right"/>
        <w:rPr>
          <w:sz w:val="24"/>
        </w:rPr>
      </w:pPr>
      <w:r>
        <w:rPr>
          <w:sz w:val="24"/>
        </w:rPr>
      </w:r>
    </w:p>
    <w:p>
      <w:pPr>
        <w:pStyle w:val="18"/>
        <w:widowControl/>
        <w:spacing w:lineRule="auto" w:line="240" w:before="0" w:after="0"/>
        <w:ind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18"/>
        <w:widowControl/>
        <w:spacing w:lineRule="auto" w:line="240" w:before="0" w:after="0"/>
        <w:ind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формирования перечня налоговых расходов и оценки налоговых расходов Ильевского сельского поселения Калачевского муниципального района Волгоградской области</w:t>
      </w:r>
    </w:p>
    <w:p>
      <w:pPr>
        <w:pStyle w:val="18"/>
        <w:widowControl/>
        <w:spacing w:lineRule="auto" w:line="240" w:before="0" w:after="0"/>
        <w:ind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8"/>
        <w:numPr>
          <w:ilvl w:val="0"/>
          <w:numId w:val="1"/>
        </w:numPr>
        <w:tabs>
          <w:tab w:val="clear" w:pos="708"/>
          <w:tab w:val="left" w:pos="226" w:leader="none"/>
        </w:tabs>
        <w:spacing w:lineRule="auto" w:line="240"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>
      <w:pPr>
        <w:pStyle w:val="18"/>
        <w:widowControl/>
        <w:tabs>
          <w:tab w:val="clear" w:pos="708"/>
          <w:tab w:val="left" w:pos="226" w:leader="none"/>
        </w:tabs>
        <w:spacing w:lineRule="auto" w:line="240" w:before="0" w:after="0"/>
        <w:ind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8"/>
        <w:widowControl/>
        <w:numPr>
          <w:ilvl w:val="1"/>
          <w:numId w:val="2"/>
        </w:numPr>
        <w:tabs>
          <w:tab w:val="clear" w:pos="708"/>
          <w:tab w:val="left" w:pos="1153" w:leader="none"/>
        </w:tabs>
        <w:spacing w:lineRule="auto" w:line="240" w:before="0" w:after="0"/>
        <w:ind w:left="20" w:right="2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Настоящий Порядок определяет порядок формирования перечня налоговых расходов и устанавливает требования к критериям оценки налоговых расходов администрации Ильевского сельского поселения Калачевского муниципального района Волгоградской области (далее – Порядок).</w:t>
      </w:r>
    </w:p>
    <w:p>
      <w:pPr>
        <w:pStyle w:val="18"/>
        <w:widowControl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Понятия используемые в настоящем Порядке:</w:t>
      </w:r>
    </w:p>
    <w:p>
      <w:pPr>
        <w:pStyle w:val="18"/>
        <w:widowControl/>
        <w:tabs>
          <w:tab w:val="clear" w:pos="708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куратор налогового расхода</w:t>
      </w:r>
      <w:r>
        <w:rPr>
          <w:color w:val="auto"/>
          <w:sz w:val="28"/>
          <w:szCs w:val="28"/>
        </w:rPr>
        <w:t xml:space="preserve"> – ответственный исполнитель муниципальной программы, администрация Ильевского сельского поселения Калачевского муниципального района Волгоградской области (далее – администрация Ильевского сельского поселения, местная администрация) ответственная в соответствии с полномочиями, установленными муниципальными правовыми актами за достижение соответствующих налоговому расходу Ильевского сельского поселения Калачевского муниципального района Волгоградской области (далее – Ильевское сельское поселение, муниципальное образование)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>
      <w:pPr>
        <w:pStyle w:val="18"/>
        <w:widowControl/>
        <w:tabs>
          <w:tab w:val="clear" w:pos="708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соисполнитель куратора налогового расхода</w:t>
      </w:r>
      <w:r>
        <w:rPr>
          <w:color w:val="auto"/>
          <w:sz w:val="28"/>
          <w:szCs w:val="28"/>
        </w:rPr>
        <w:t xml:space="preserve"> – местная администрация, орган местного самоуправления, организация, ответственные в соответствии с полномочиями, установленными муниципальными правовыми актами,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совместно с куратором налоговых расходов в проведении оценки муниципального образования;</w:t>
      </w:r>
    </w:p>
    <w:p>
      <w:pPr>
        <w:pStyle w:val="18"/>
        <w:widowControl/>
        <w:spacing w:lineRule="auto" w:line="240" w:before="0" w:after="0"/>
        <w:ind w:left="20" w:right="20" w:firstLine="72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нормативные характеристики налоговых расходов</w:t>
      </w:r>
      <w:r>
        <w:rPr>
          <w:sz w:val="28"/>
          <w:szCs w:val="28"/>
        </w:rPr>
        <w:t xml:space="preserve"> - сведения о положениях нормативных правовых актов Ильевского сельского поселения,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Ильевского сельского поселения;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оценка налоговых расходов</w:t>
      </w:r>
      <w:r>
        <w:rPr>
          <w:sz w:val="28"/>
          <w:szCs w:val="28"/>
        </w:rPr>
        <w:t xml:space="preserve"> - комплекс мероприятий по оценке объемов налоговых расходов Ильевского сельского поселения, обусловленных льготами, предоставленными плательщикам, а также по оценке эффективности налоговых расходов Ильевского сельского поселения;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оценка объемов налоговых расходов</w:t>
      </w:r>
      <w:r>
        <w:rPr>
          <w:sz w:val="28"/>
          <w:szCs w:val="28"/>
        </w:rPr>
        <w:t xml:space="preserve"> - определение объемов выпадающих доходов бюджета Ильевского сельского поселения, обусловленных льготами, предоставленными плательщикам;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оценка эффективности налоговых расходов</w:t>
      </w:r>
      <w:r>
        <w:rPr>
          <w:sz w:val="28"/>
          <w:szCs w:val="28"/>
        </w:rPr>
        <w:t xml:space="preserve"> - комплекс мероприятий предоставления, позволяющих сделать вывод о целесообразности и результативности плательщикам льгот исходя из целевых характеристик </w:t>
      </w:r>
      <w:r>
        <w:rPr>
          <w:color w:val="auto"/>
          <w:sz w:val="28"/>
          <w:szCs w:val="28"/>
        </w:rPr>
        <w:t>налогового расхода Ильевского сельского поселения;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паспорт налогового расхода</w:t>
      </w:r>
      <w:r>
        <w:rPr>
          <w:sz w:val="28"/>
          <w:szCs w:val="28"/>
        </w:rPr>
        <w:t xml:space="preserve"> -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перечень налоговых расходов</w:t>
      </w:r>
      <w:r>
        <w:rPr>
          <w:sz w:val="28"/>
          <w:szCs w:val="28"/>
        </w:rPr>
        <w:t xml:space="preserve"> - документ, содержащий сведения о распределении налоговых расходов в соответствии с целями муниципальных программ Ильевского сельского поселения и (или) целями социально-экономического развития Ильевского сельского поселения, не относящимися к муниципальным программам Ильевского сельского поселения, а также о кураторах налоговых расходов;</w:t>
      </w:r>
    </w:p>
    <w:p>
      <w:pPr>
        <w:pStyle w:val="18"/>
        <w:widowControl/>
        <w:spacing w:lineRule="auto" w:line="240" w:before="0" w:after="0"/>
        <w:ind w:lef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плательщики</w:t>
      </w:r>
      <w:r>
        <w:rPr>
          <w:sz w:val="28"/>
          <w:szCs w:val="28"/>
        </w:rPr>
        <w:t xml:space="preserve"> - плательщики налогов;</w:t>
      </w:r>
    </w:p>
    <w:p>
      <w:pPr>
        <w:pStyle w:val="18"/>
        <w:widowControl/>
        <w:spacing w:lineRule="auto" w:line="240" w:before="0" w:after="0"/>
        <w:ind w:lef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социальные налоговые расходы</w:t>
      </w:r>
      <w:r>
        <w:rPr>
          <w:sz w:val="28"/>
          <w:szCs w:val="28"/>
        </w:rPr>
        <w:t xml:space="preserve"> - целевая категория налоговых расходов Ильевского сельского поселения,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стимулирующие налоговые расходы</w:t>
      </w:r>
      <w:r>
        <w:rPr>
          <w:sz w:val="28"/>
          <w:szCs w:val="28"/>
        </w:rPr>
        <w:t xml:space="preserve"> 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Ильевского сельского поселения;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технические налоговые расходы</w:t>
      </w:r>
      <w:r>
        <w:rPr>
          <w:sz w:val="28"/>
          <w:szCs w:val="28"/>
        </w:rPr>
        <w:t xml:space="preserve">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фискальные характеристики налоговых расходов</w:t>
      </w:r>
      <w:r>
        <w:rPr>
          <w:sz w:val="28"/>
          <w:szCs w:val="28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Ильевского сельского поселения;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целевые характеристики налогового расхода</w:t>
      </w:r>
      <w:r>
        <w:rPr>
          <w:sz w:val="28"/>
          <w:szCs w:val="28"/>
        </w:rPr>
        <w:t xml:space="preserve"> 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Ильевского сельского поселения.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Иные понятия и термины, используемые в настоящем Порядке, применяются в значениях, определенных законодательством Российской Федерации, законодательством Волгоградской области, муниципальными нормативными правовыми актами муниципального образования.</w:t>
      </w:r>
    </w:p>
    <w:p>
      <w:pPr>
        <w:pStyle w:val="18"/>
        <w:widowControl/>
        <w:spacing w:lineRule="auto" w:line="240" w:before="0" w:after="0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оценки налоговых расходов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left="709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3.1. кураторы налогового расхода: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формируют паспорта налоговых расходов Ильевского сельского поселения, содержащие информацию, предусмотренную приложением № 1 к настоящему Порядку;</w:t>
      </w:r>
    </w:p>
    <w:p>
      <w:pPr>
        <w:pStyle w:val="18"/>
        <w:numPr>
          <w:ilvl w:val="0"/>
          <w:numId w:val="3"/>
        </w:numPr>
        <w:tabs>
          <w:tab w:val="clear" w:pos="708"/>
          <w:tab w:val="left" w:pos="1143" w:leader="none"/>
        </w:tabs>
        <w:spacing w:lineRule="auto" w:line="240" w:before="0" w:after="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оценку эффективности налоговых расходов Ильевского сельского поселения;</w:t>
      </w:r>
    </w:p>
    <w:p>
      <w:pPr>
        <w:pStyle w:val="18"/>
        <w:numPr>
          <w:ilvl w:val="0"/>
          <w:numId w:val="3"/>
        </w:numPr>
        <w:tabs>
          <w:tab w:val="clear" w:pos="708"/>
          <w:tab w:val="left" w:pos="1143" w:leader="none"/>
        </w:tabs>
        <w:spacing w:lineRule="auto" w:line="240" w:before="0" w:after="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определяют порядок участия соисполнителя куратора налогового расхода в проведении оценки налоговых расходов муниципального образования;</w:t>
      </w:r>
    </w:p>
    <w:p>
      <w:pPr>
        <w:pStyle w:val="18"/>
        <w:numPr>
          <w:ilvl w:val="0"/>
          <w:numId w:val="3"/>
        </w:numPr>
        <w:tabs>
          <w:tab w:val="clear" w:pos="708"/>
          <w:tab w:val="left" w:pos="1143" w:leader="none"/>
        </w:tabs>
        <w:spacing w:lineRule="auto" w:line="240" w:before="0" w:after="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определяют порядок рассмотрения предложений о сохранении (уточнении, отмене) льгот для плательщиков, формируемых в соответствии с </w:t>
      </w:r>
      <w:r>
        <w:rPr>
          <w:sz w:val="28"/>
          <w:szCs w:val="28"/>
          <w:u w:val="none" w:color="000000"/>
        </w:rPr>
        <w:t>пунктами 16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u w:val="none" w:color="000000"/>
        </w:rPr>
        <w:t>22</w:t>
      </w:r>
      <w:r>
        <w:rPr>
          <w:sz w:val="28"/>
          <w:szCs w:val="28"/>
        </w:rPr>
        <w:t xml:space="preserve"> настоящего Порядка.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соисполнитель куратора налогового расхода: 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перечень налоговых расходов муниципального образования;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информацию о нормативных, целевых и фискальных характеристиках налоговых расходов муниципального образования;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обобщает результаты оценки эффективности налоговых расходов муниципального образования, осуществляемой кураторами налоговых расходов;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куратору налоговых расходов предложения для включения в проекты методик оценки эффективности налоговых расходов в пределах полномочий, в соответствии с которыми они являются ответственными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образования;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оценку эффективности налоговых расходов муниципального образования в пределах полномочий, определенных методикой оценки эффективности налоговых расходов муниципального образования, в соответствии с которыми он является ответственным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направляет результаты оценки эффективности налоговых расходов муниципального образования куратору налоговых расходов, осуществляющему сводную оценку эффективности налоговых расходов муниципального образования, ежегодно, не позднее 1 декабря (уточненные данные - до </w:t>
      </w:r>
      <w:r>
        <w:rPr>
          <w:color w:val="000000"/>
          <w:sz w:val="28"/>
          <w:szCs w:val="28"/>
          <w:shd w:fill="auto" w:val="clear"/>
        </w:rPr>
        <w:t xml:space="preserve">15 февраля </w:t>
      </w:r>
      <w:r>
        <w:rPr>
          <w:sz w:val="28"/>
          <w:szCs w:val="28"/>
        </w:rPr>
        <w:t>).</w:t>
      </w:r>
    </w:p>
    <w:p>
      <w:pPr>
        <w:pStyle w:val="18"/>
        <w:widowControl/>
        <w:tabs>
          <w:tab w:val="clear" w:pos="708"/>
          <w:tab w:val="left" w:pos="1143" w:leader="none"/>
        </w:tabs>
        <w:spacing w:lineRule="auto" w:line="240"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Отнесение налоговых расходов Ильевского сельского поселения к муниципальным программам осуществляется исходя из целей муниципальных программ и (или) целей социально-экономического развития Ильевского сельского поселения, не относящихся к муниципальным программам.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Оценка налоговых расходов администрации Ильевского сельского поселения осуществляется администрацией Ильевского сельского поселения</w:t>
      </w:r>
      <w:r>
        <w:rPr>
          <w:rFonts w:ascii="Times New Roman" w:hAnsi="Times New Roman"/>
          <w:strike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по согласованию (при наличии соответствующего соглашения)</w:t>
      </w:r>
      <w:r>
        <w:rPr>
          <w:rFonts w:ascii="Times New Roman" w:hAnsi="Times New Roman"/>
          <w:i/>
          <w:color w:val="FB290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КБФПиК администрации Калачевского муниципального района Волгоградской области.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8"/>
        <w:widowControl/>
        <w:spacing w:lineRule="auto" w:line="240" w:before="0" w:after="0"/>
        <w:ind w:left="720" w:right="2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II. Формирование перечня налоговых расходов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Проект перечня налоговых расходов на очередной финансовый год и плановый период (предложений о внесении изменений в перечень налоговых расходов) разрабатывается специалистом по бухгалтерскому учету администрации Ильевского сельского поселения по форме согласно приложению № 2 к настоящему Порядку ежегодно в срок до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15 февраля )</w:t>
      </w:r>
      <w:r>
        <w:rPr>
          <w:rFonts w:ascii="Times New Roman" w:hAnsi="Times New Roman"/>
          <w:sz w:val="28"/>
          <w:szCs w:val="28"/>
        </w:rPr>
        <w:t xml:space="preserve"> текущего финансового года и направляется на согласование ответственным исполнителям муниципальных программ Ильевского сельского поселения, а также иным органам, организациям, которые проектом перечня налоговых расходов предлагается закрепить в качестве кураторов налоговых расходов.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Ответственные исполнители муниципальных программ, указанные в пункте 6 настоящего Порядка, в течение 10 рабочих дней рассматривают проект перечня налоговых расходов или предложения о внесении изменений в перечень налоговых расходов на предмет предлагаемого распределения налоговых расходов Ильевского сельского поселения по муниципальным программам в перечень налоговых расходов в соответствии с целями муниципальных программ и (или) целями социально-экономической политики Российской Федерации, не относящимися к муниципальным программам, и определения кураторов налоговых расходов (с указанием муниципальной программы Ильевского сельского поселения, ее структурного элемента, направления деятельности, не входящего в муниципальные программы Ильевского  сельского поселения, куратора налогового расхода, к которым необходимо отнести каждый налоговый расход, в отношении которого имеются замечания).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 если предложения, указанные в абзаце первом настоящего пункта, предполагают изменение куратора налогового расхода, такие предложения  администрация Ильевского сельского поселения, указанные в пункте 6 настоящего Порядка, согласовывает с предлагаемым куратором налогового расхода.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 если результаты рассмотрения не направлены специалисту администрации Ильевского сельского поселения в течение срока, указанного в абзаце первом настоящего пункта, проект перечня налоговых расходов считается согласованным.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наличии разногласий по проекту перечня налоговых расходов администрация Ильевского сельского поселения обеспечивает проведение согласительных совещаний с соответствующими кураторами налогового расхода в срок до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01 апреля</w:t>
      </w:r>
      <w:r>
        <w:rPr>
          <w:rFonts w:ascii="Times New Roman" w:hAnsi="Times New Roman"/>
          <w:sz w:val="28"/>
          <w:szCs w:val="28"/>
        </w:rPr>
        <w:t xml:space="preserve"> текущего финансового года.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Разногласия, не урегулированные по результатам согласительных совещаний, указанных в абзаце четвертом настоящего пункта, рассматриваются главой Ильевского сельского поселения  в срок до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01 апреля </w:t>
      </w:r>
      <w:r>
        <w:rPr>
          <w:rFonts w:ascii="Times New Roman" w:hAnsi="Times New Roman"/>
          <w:sz w:val="28"/>
          <w:szCs w:val="28"/>
        </w:rPr>
        <w:t>текущего финансового года.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Перечень налоговых расходов размещается на официальном сайте Ильевского сельского поселения в информационно-телекоммуникационной сети Интернет в течение семи рабочих дня со дня его формирования.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 В случае внесения в текущем финансовом году изменений в перечень муниципальных программ Ильевского сельского поселения, структуру муниципальных программ Ильевского сельского поселения и (или) изменения полномочий органов местного самоуправления  Ильевского сельского поселения, указанных пункте 6 настоящего Порядка, затрагивающих перечень налоговых расходов Ильевского сельского поселения, кураторы налоговых расходов не позднее 10 рабочих дней с даты соответствующих изменений направляют специалисту администрации соответствующую информацию для уточнения перечня налоговых расходов Ильевского сельского поселения.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в текущем финансовом году утратившими силу положений нормативных правовых актов, их структурных единиц, которыми предусматриваются льготы, обусловливающие налоговые расходы Ильевского сельского поселения, кураторы налоговых расходов не позднее 5 рабочих дней со дня вступления в силу соответствующих нормативных правовых актов, их структурных единиц представляют соответствующую информацию для уточнения соисполнителем куратора налогового расхода перечня налоговых расходов Российской 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Перечень налоговых расходов муниципального образования с внесенными в него изменениями в соответствии с </w:t>
      </w:r>
      <w:r>
        <w:rPr>
          <w:rFonts w:ascii="Times New Roman" w:hAnsi="Times New Roman"/>
          <w:sz w:val="28"/>
          <w:szCs w:val="28"/>
          <w:u w:val="none" w:color="000000"/>
        </w:rPr>
        <w:t>абзацем первым пункта 9</w:t>
      </w:r>
      <w:r>
        <w:rPr>
          <w:rFonts w:ascii="Times New Roman" w:hAnsi="Times New Roman"/>
          <w:sz w:val="28"/>
          <w:szCs w:val="28"/>
        </w:rPr>
        <w:t xml:space="preserve"> настоящего Порядка формируется до 1 октября, уточненный перечень налоговых расходов муниципального образования с внесенными в него изменениями в соответствии с </w:t>
      </w:r>
      <w:r>
        <w:rPr>
          <w:rFonts w:ascii="Times New Roman" w:hAnsi="Times New Roman"/>
          <w:sz w:val="28"/>
          <w:szCs w:val="28"/>
          <w:u w:val="none" w:color="000000"/>
        </w:rPr>
        <w:t>абзацем вторым пункта 9</w:t>
      </w:r>
      <w:r>
        <w:rPr>
          <w:rFonts w:ascii="Times New Roman" w:hAnsi="Times New Roman"/>
          <w:sz w:val="28"/>
          <w:szCs w:val="28"/>
        </w:rPr>
        <w:t xml:space="preserve"> настоящего Порядка формируется до 15 декабря.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Перечень налоговых расходов Ильевского сельского поселения используется для оценки налоговых расходов муниципального образования. Результаты оценки налоговых расходов Ильевского сельского поселения учитываются при формировании основных направлений бюджетной и налоговой политики муниципального образования.</w:t>
      </w:r>
    </w:p>
    <w:p>
      <w:pPr>
        <w:pStyle w:val="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7"/>
        <w:keepNext w:val="true"/>
        <w:keepLines/>
        <w:widowControl/>
        <w:tabs>
          <w:tab w:val="clear" w:pos="708"/>
          <w:tab w:val="left" w:pos="2680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III. Порядок проведения оценки налоговых расходов</w:t>
      </w:r>
    </w:p>
    <w:p>
      <w:pPr>
        <w:pStyle w:val="18"/>
        <w:widowControl/>
        <w:tabs>
          <w:tab w:val="clear" w:pos="708"/>
          <w:tab w:val="left" w:pos="447" w:leader="none"/>
        </w:tabs>
        <w:spacing w:lineRule="auto" w:line="240" w:before="0" w:after="0"/>
        <w:ind w:right="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12. Оценка эффективности налоговых расходов муниципального образования  включает: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а) оценку целесообразности налоговых расходов муниципального образования;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б) оценку результативности налоговых расходов муниципального образования.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13. Критериями целесообразности налоговых расходов муниципального образования являются: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соответствие налоговых расходов Ильевского сельского поселения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период, а в случае, если указанные льготы действуют более 6 лет, - на день проведения оценки эффективности налогового расхода (Е) по следующей формуле </w:t>
      </w:r>
    </w:p>
    <w:p>
      <w:pPr>
        <w:pStyle w:val="Consplusnormal0"/>
        <w:spacing w:beforeAutospacing="0" w:before="0" w:afterAutospacing="0" w:after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/>
        <w:drawing>
          <wp:inline distT="0" distB="0" distL="0" distR="0">
            <wp:extent cx="3276600" cy="94234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</w:rPr>
        <w:br/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, где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Е - оценка совокупного бюджетного эффекта (самоокупаемости) стимулирующих налоговых расходов Ильевского сельского поселения;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- порядковый номер i-го года, имеющий значение от 1 до 5;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> - количество плательщиков, воспользовавшихся льготой в i-м году;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 - порядковый номер плательщика, имеющий значение от 1 до m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>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ij</w:t>
      </w:r>
      <w:r>
        <w:rPr>
          <w:sz w:val="28"/>
          <w:szCs w:val="28"/>
        </w:rPr>
        <w:t xml:space="preserve"> - объем налогов, задекларированных для уплаты в бюджет Ильевского сельского поселения j-м плательщиком в i-м году. 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день проведения оценки совокупного бюджетного эффекта (самоокупаемости) стимулирующих налоговых расходов Ильевского сельского поселения для плательщиков, имеющих право на льготы, льготы действуют менее 6 лет, объемы налогов, подлежащих уплате в бюджет Ильевского сельского поселения, оцениваются (прогнозируются) по данным куратора налоговых расходов Ильевского сельского поселения;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oj</w:t>
      </w:r>
      <w:r>
        <w:rPr>
          <w:sz w:val="28"/>
          <w:szCs w:val="28"/>
        </w:rPr>
        <w:t> - базовый объем налогов, задекларированных для уплаты в бюджет Ильевского сельского поселения j-м плательщиком в базовом году;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> - номинальный темп прироста налоговых доходов консолидированных бюджетов субъектов Российской Федерации в i-м году по отношению к показателям базового года, рассчитываемый Министерством финансов Российской Федерации в соответствии с </w:t>
      </w:r>
      <w:hyperlink r:id="rId3">
        <w:r>
          <w:rPr>
            <w:rStyle w:val="Listlabel1"/>
            <w:sz w:val="28"/>
            <w:szCs w:val="28"/>
            <w:u w:val="single"/>
          </w:rPr>
          <w:t>постановлением</w:t>
        </w:r>
      </w:hyperlink>
      <w:r>
        <w:rPr>
          <w:sz w:val="28"/>
          <w:szCs w:val="28"/>
        </w:rPr>
        <w:t> Правительства Российской Федерации от 22 июня 2019 г. N 796 "</w:t>
      </w:r>
      <w:hyperlink r:id="rId4" w:tgtFrame="_blank">
        <w:r>
          <w:rPr>
            <w:rStyle w:val="Hyperlink"/>
            <w:sz w:val="28"/>
            <w:szCs w:val="28"/>
          </w:rPr>
          <w:t>Об общих требованиях к оценке налоговых расходов субъектов Российской Федерации и муниципальных образований</w:t>
        </w:r>
      </w:hyperlink>
      <w:r>
        <w:rPr>
          <w:sz w:val="28"/>
          <w:szCs w:val="28"/>
        </w:rPr>
        <w:t>";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 - расчетная стоимость среднесрочных рыночных заимствований Ильевского сельского поселения.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Базовый объем налогов, задекларированных для уплаты в бюджет Ильевского сельского поселения j-м плательщиком в базовом году, рассчитывается по следующей формуле: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> = N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> + L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>, где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> - базовый объем налогов, задекларированных для уплаты в бюджет Ильевского сельского поселения  j-м плательщиком в базовом году;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> - объем налогов, задекларированных для уплаты в бюджет Ильевского сельского поселения  j-м плательщиком в базовом году;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> - объем льгот, предоставленных j-му плательщику в базовом году.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базовым годом в настоящем Порядке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Расчетная стоимость среднесрочных рыночных заимствований Ильевского сельского поселения рассчитывается по следующей формуле: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 = i</w:t>
      </w:r>
      <w:r>
        <w:rPr>
          <w:sz w:val="28"/>
          <w:szCs w:val="28"/>
          <w:vertAlign w:val="subscript"/>
        </w:rPr>
        <w:t>инф</w:t>
      </w:r>
      <w:r>
        <w:rPr>
          <w:sz w:val="28"/>
          <w:szCs w:val="28"/>
        </w:rPr>
        <w:t> + p + c, где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 - расчетная стоимость среднесрочных рыночных заимствований Ильевского сельского поселения;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инф</w:t>
      </w:r>
      <w:r>
        <w:rPr>
          <w:sz w:val="28"/>
          <w:szCs w:val="28"/>
        </w:rPr>
        <w:t> - целевой уровень инфляции (4,0 процента);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 - реальная процентная ставка, определяемая на уровне 2,5 процента;</w:t>
      </w:r>
    </w:p>
    <w:p>
      <w:pPr>
        <w:pStyle w:val="Consplusnormal0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 - кредитная премия за риск, рассчитываемая для целей настоящего Порядка в зависимости от отношения объема муниципального долга Ильевского сельского поселения по состоянию на 01 января текущего финансового года к объему налоговых и неналоговых доходов бюджета Ильевского сельского поселения за отчетный период (в случае если указанное отношение составляет менее 50,0 процентов, кредитная премия за риск принимается равной 1,0 проценту; в случае если указанное отношение составляет от 50,0 до 100,0 процентов, кредитная премия за риск принимается равной 2,0 процентам; в случае если указанное отношение составляет более 100,0 процентов, кредитная премия за риск принимается равной 3,0 процентам).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16. В случае несоответствия налоговых расходов Ильевского сельского поселения хотя бы одному из критериев, указанных в </w:t>
      </w:r>
      <w:r>
        <w:rPr>
          <w:sz w:val="28"/>
          <w:szCs w:val="28"/>
          <w:u w:val="none" w:color="000000"/>
        </w:rPr>
        <w:t>пункте 13</w:t>
      </w:r>
      <w:r>
        <w:rPr>
          <w:sz w:val="28"/>
          <w:szCs w:val="28"/>
        </w:rPr>
        <w:t xml:space="preserve">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программы)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 муниципального образования, и (или) недостижения положительных значений оценки совокупного бюджетного эффекта (самоокупаемости) стимулирующих налоговых расходов куратору налогового расхода надлежит представить в  местную администрацию предложения о сохранении уточнении, отмене льгот для плательщиков.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17.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Ильевского сельского поселения,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18. Оценка результативности налоговых расходов Ильевского сельского поселения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оценку бюджетной эффективности налоговых расходов муниципального образования и оценку совокупного бюджетного эффекта (самоокупаемости) стимулирующих налоговых расходов. 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19. В целях оценки бюджетной эффективности налоговых расходов Ильевского сельского поселения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20. Сравнительный анализ включает сравнение объемов расходов бюджета Ильевского сельского поселения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 и на 1 рубль расходов бюджета Ильевского сельского поселения для достижения того же показателя (индикатора) в случае применения альтернативных механизмов).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бюджета Ильевского сельского поселения;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20(1). Оценку результативности налоговых расходов Ильевского сельского поселения допускается не проводить в отношении: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а) технических налоговых расходов Ильевского сельского поселения;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б) налоговых расходов Ильевского сельского поселения по которым на момент проведения оценки эффективности налоговых расходов муниципального образования отсутствуют фискальные характеристики;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в) налоговых расходов Ильевского сельского поселения обусловленных льготами, срок действия которых составляет менее одного года.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20(2). Оценку востребованности плательщиками предоставленных льгот допускается не проводить в отношении: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а) льгот, обусловливающих налоговые расходы Ильевского сельского поселения, по которым на момент проведения оценки эффективности налоговых расходов Ильевского сельского поселения отсутствуют фискальные характеристики;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б) налоговых расходов Ильевского сельского поселения обусловленных льготами, срок действия которых составляет менее одного года.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21. По итогам оценки эффективности налогового расхода Ильевского сельского поселения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муниципальной программы и (или) целей социально-экономической политики, не относящихся к муниципальным программам,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 программам, а также о значении совокупного бюджетного эффекта (самоокупаемости) стимулирующих налоговых расходов Ильевского сельского поселения.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22. Администрация Ильевского сельского поселения формирует оценку эффективности налоговых расходов муниципального образования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</w:t>
      </w:r>
      <w:r>
        <w:rPr>
          <w:sz w:val="28"/>
          <w:szCs w:val="28"/>
          <w:u w:val="none" w:color="000000"/>
        </w:rPr>
        <w:t>пунктом 16</w:t>
      </w:r>
      <w:r>
        <w:rPr>
          <w:sz w:val="28"/>
          <w:szCs w:val="28"/>
        </w:rPr>
        <w:t xml:space="preserve"> настоящего Порядка.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0"/>
        <w:ind w:left="20" w:right="23" w:firstLine="720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Результаты рассмотрения оценки налоговых расходов муниципального образования  учитываются при формировании основных направлений бюджетной и налоговой политики Ильевского сельского поселения, а также при проведении оценки эффективности реализации муниципальных программ.</w:t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720"/>
        <w:ind w:left="20" w:right="23" w:firstLine="72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18"/>
        <w:widowControl/>
        <w:tabs>
          <w:tab w:val="clear" w:pos="708"/>
          <w:tab w:val="left" w:pos="1047" w:leader="none"/>
        </w:tabs>
        <w:spacing w:lineRule="auto" w:line="240" w:before="0" w:after="720"/>
        <w:ind w:left="20" w:right="23" w:firstLine="72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Приложение № 1</w:t>
        <w:br/>
      </w:r>
    </w:p>
    <w:p>
      <w:pPr>
        <w:pStyle w:val="Normal"/>
        <w:widowControl/>
        <w:ind w:left="4535" w:hanging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 Порядку формирования перечня налоговых расходов и оценки налоговых расходов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right"/>
        <w:rPr/>
      </w:pPr>
      <w:r>
        <w:rPr/>
      </w:r>
    </w:p>
    <w:p>
      <w:pPr>
        <w:pStyle w:val="Normal"/>
        <w:widowControl/>
        <w:jc w:val="both"/>
        <w:rPr>
          <w:rFonts w:ascii="Times New Roman" w:hAnsi="Times New Roman"/>
        </w:rPr>
      </w:pPr>
      <w:r>
        <w:rPr/>
        <w:t> </w:t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ПЕРЕЧЕНЬ</w:t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ИНФОРМАЦИИ, ВКЛЮЧАЕМОЙ В ПАСПОРТ НАЛОГОВОГО РАСХОДА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both"/>
        <w:rPr/>
      </w:pPr>
      <w:r>
        <w:rPr/>
        <w:t> </w:t>
      </w:r>
    </w:p>
    <w:tbl>
      <w:tblPr>
        <w:tblW w:w="94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9"/>
        <w:gridCol w:w="5407"/>
        <w:gridCol w:w="3265"/>
      </w:tblGrid>
      <w:tr>
        <w:trPr/>
        <w:tc>
          <w:tcPr>
            <w:tcW w:w="61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Предоставляемая информация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данных</w:t>
            </w:r>
          </w:p>
        </w:tc>
      </w:tr>
      <w:tr>
        <w:trPr/>
        <w:tc>
          <w:tcPr>
            <w:tcW w:w="9461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I. Нормативные характеристики налогового расхода 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Наименования налогов, сборов по которым предусматриваются налоговые льготы, освобождения и иные преференции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перечень налоговых расходов муниципального образования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налогам, сборам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перечень налоговых расходов муниципального образования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перечень налоговых расходов муниципального образования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категория плательщиков налогов, сборов для которых предусмотрены налоговые льготы, освобождения и иные преференции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946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II. Целевые характеристики налогового расхода 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Целевая категория налоговых расходов Российской Федерации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Цели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Показатели (индикаторы) достижения целей муниципальных программ и (или) целей социально-экономической политики, не относящихся к муниципальным программам Российской Федерации (и их значения),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 Российской Федерации (и их значения),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>
        <w:trPr/>
        <w:tc>
          <w:tcPr>
            <w:tcW w:w="94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III. Фискальные характеристики налогового расхода 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налоговых льгот, освобождений и иных преференций, предоставленных для плательщиков налогов, сборов за отчетный финансовый год (тыс. рублей)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администратор доходов бюджета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администратор доходов бюджета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администратор доходов бюджета, МИФНС России № 5 по Волгоградской области (по согласованию)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Численность плательщиков налогов, сборов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администратор доходов  бюджета, МИФНС России № 5 по Волгоградской области (по согласованию)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</w:t>
            </w:r>
          </w:p>
        </w:tc>
        <w:tc>
          <w:tcPr>
            <w:tcW w:w="540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налогов, сборов задекларированный для уплаты в бюджет муниципального образования плательщиками налогов, сборов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администратор доходов  бюджета, МИФНС России № 5 по Волгоградской области (по согласованию)</w:t>
            </w:r>
          </w:p>
        </w:tc>
      </w:tr>
    </w:tbl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/>
      </w:r>
    </w:p>
    <w:p>
      <w:pPr>
        <w:pStyle w:val="Normal"/>
        <w:widowControl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Приложение № 2</w:t>
        <w:br/>
      </w:r>
    </w:p>
    <w:p>
      <w:pPr>
        <w:pStyle w:val="Normal"/>
        <w:widowControl/>
        <w:ind w:left="4535" w:hanging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 Порядку формирования перечня налоговых расходов и оценки налоговых расходов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ПЕРЕЧЕНЬ</w:t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НАЛОГОВЫХ РАСХОДОВ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center"/>
        <w:rPr>
          <w:b/>
          <w:b/>
        </w:rPr>
      </w:pPr>
      <w:r>
        <w:rPr/>
        <w:t> 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>на ____ год и на плановый период _____ и _____ годов</w:t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9"/>
        <w:gridCol w:w="926"/>
        <w:gridCol w:w="1258"/>
        <w:gridCol w:w="964"/>
        <w:gridCol w:w="945"/>
        <w:gridCol w:w="1841"/>
        <w:gridCol w:w="1261"/>
        <w:gridCol w:w="1149"/>
        <w:gridCol w:w="926"/>
      </w:tblGrid>
      <w:tr>
        <w:trPr>
          <w:trHeight w:val="161" w:hRule="atLeast"/>
        </w:trPr>
        <w:tc>
          <w:tcPr>
            <w:tcW w:w="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п/п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Категория налогового расхода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Реквизиты правового акта, установившего налоговый расход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Наименование налога/ налоговых льгот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Целевая категория налогового расхода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Дата начала/срок  действия/дата прекращения действия налогового расхода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Наименование муниципальной программы, ее структурных элементов, а также направлений деятельности, не входящих в муниципальные программы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Цели предоставления налоговых льгот, освобождения, иных преференций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Куратор налогового расхода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9" w:hRule="atLeast"/>
        </w:trPr>
        <w:tc>
          <w:tcPr>
            <w:tcW w:w="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18"/>
        <w:widowControl/>
        <w:spacing w:lineRule="exact" w:line="274" w:before="0" w:after="0"/>
        <w:ind w:right="20" w:hanging="0"/>
        <w:jc w:val="both"/>
        <w:rPr>
          <w:sz w:val="24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710" w:header="284" w:top="825" w:footer="3" w:bottom="567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rFonts w:ascii="Times New Roman" w:hAnsi="Times New Roman"/>
        <w:color w:val="000000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1739ff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rsid w:val="001739ff"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0"/>
    <w:uiPriority w:val="9"/>
    <w:qFormat/>
    <w:rsid w:val="001739ff"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0"/>
    <w:uiPriority w:val="9"/>
    <w:qFormat/>
    <w:rsid w:val="001739ff"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0"/>
    <w:uiPriority w:val="9"/>
    <w:qFormat/>
    <w:rsid w:val="001739ff"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rsid w:val="001739ff"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1739ff"/>
    <w:rPr>
      <w:color w:val="000000"/>
      <w:sz w:val="24"/>
    </w:rPr>
  </w:style>
  <w:style w:type="character" w:styleId="21" w:customStyle="1">
    <w:name w:val="Оглавление 2 Знак"/>
    <w:link w:val="21"/>
    <w:qFormat/>
    <w:rsid w:val="001739ff"/>
    <w:rPr>
      <w:rFonts w:ascii="XO Thames" w:hAnsi="XO Thames"/>
      <w:sz w:val="28"/>
    </w:rPr>
  </w:style>
  <w:style w:type="character" w:styleId="22" w:customStyle="1">
    <w:name w:val="Основной текст (2)"/>
    <w:basedOn w:val="20"/>
    <w:link w:val="23"/>
    <w:qFormat/>
    <w:rsid w:val="001739ff"/>
    <w:rPr>
      <w:color w:val="000000"/>
      <w:spacing w:val="0"/>
      <w:u w:val="single"/>
    </w:rPr>
  </w:style>
  <w:style w:type="character" w:styleId="41" w:customStyle="1">
    <w:name w:val="Оглавление 4 Знак"/>
    <w:link w:val="41"/>
    <w:qFormat/>
    <w:rsid w:val="001739ff"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sid w:val="001739ff"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sid w:val="001739ff"/>
    <w:rPr>
      <w:rFonts w:ascii="XO Thames" w:hAnsi="XO Thames"/>
      <w:sz w:val="28"/>
    </w:rPr>
  </w:style>
  <w:style w:type="character" w:styleId="Endnote" w:customStyle="1">
    <w:name w:val="Endnote"/>
    <w:link w:val="Endnote"/>
    <w:qFormat/>
    <w:rsid w:val="001739ff"/>
    <w:rPr>
      <w:rFonts w:ascii="XO Thames" w:hAnsi="XO Thames"/>
      <w:sz w:val="22"/>
    </w:rPr>
  </w:style>
  <w:style w:type="character" w:styleId="31" w:customStyle="1">
    <w:name w:val="Заголовок 3 Знак"/>
    <w:link w:val="3"/>
    <w:qFormat/>
    <w:rsid w:val="001739ff"/>
    <w:rPr>
      <w:rFonts w:ascii="XO Thames" w:hAnsi="XO Thames"/>
      <w:b/>
      <w:sz w:val="26"/>
    </w:rPr>
  </w:style>
  <w:style w:type="character" w:styleId="12" w:customStyle="1">
    <w:name w:val="Заголовок №1"/>
    <w:basedOn w:val="11"/>
    <w:link w:val="13"/>
    <w:qFormat/>
    <w:rsid w:val="001739ff"/>
    <w:rPr>
      <w:rFonts w:ascii="Times New Roman" w:hAnsi="Times New Roman"/>
      <w:b/>
      <w:i w:val="false"/>
      <w:caps w:val="false"/>
      <w:smallCaps w:val="false"/>
      <w:strike w:val="false"/>
      <w:dstrike w:val="false"/>
      <w:sz w:val="27"/>
      <w:u w:val="none"/>
    </w:rPr>
  </w:style>
  <w:style w:type="character" w:styleId="32" w:customStyle="1">
    <w:name w:val="Оглавление 3 Знак"/>
    <w:link w:val="31"/>
    <w:qFormat/>
    <w:rsid w:val="001739ff"/>
    <w:rPr>
      <w:rFonts w:ascii="XO Thames" w:hAnsi="XO Thames"/>
      <w:sz w:val="28"/>
    </w:rPr>
  </w:style>
  <w:style w:type="character" w:styleId="Style9" w:customStyle="1">
    <w:name w:val="Нижний колонтитул Знак"/>
    <w:basedOn w:val="11"/>
    <w:link w:val="a3"/>
    <w:qFormat/>
    <w:rsid w:val="001739ff"/>
    <w:rPr/>
  </w:style>
  <w:style w:type="character" w:styleId="13" w:customStyle="1">
    <w:name w:val="Основной текст1"/>
    <w:basedOn w:val="11"/>
    <w:link w:val="15"/>
    <w:qFormat/>
    <w:rsid w:val="001739ff"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3"/>
      <w:u w:val="none"/>
    </w:rPr>
  </w:style>
  <w:style w:type="character" w:styleId="51" w:customStyle="1">
    <w:name w:val="Заголовок 5 Знак"/>
    <w:link w:val="5"/>
    <w:qFormat/>
    <w:rsid w:val="001739ff"/>
    <w:rPr>
      <w:rFonts w:ascii="XO Thames" w:hAnsi="XO Thames"/>
      <w:b/>
      <w:sz w:val="22"/>
    </w:rPr>
  </w:style>
  <w:style w:type="character" w:styleId="Markedcontent" w:customStyle="1">
    <w:name w:val="markedcontent"/>
    <w:basedOn w:val="DefaultParagraphFont"/>
    <w:link w:val="markedcontent"/>
    <w:qFormat/>
    <w:rsid w:val="001739ff"/>
    <w:rPr/>
  </w:style>
  <w:style w:type="character" w:styleId="14" w:customStyle="1">
    <w:name w:val="Заголовок 1 Знак"/>
    <w:link w:val="10"/>
    <w:qFormat/>
    <w:rsid w:val="001739ff"/>
    <w:rPr>
      <w:rFonts w:ascii="XO Thames" w:hAnsi="XO Thames"/>
      <w:b/>
      <w:sz w:val="32"/>
    </w:rPr>
  </w:style>
  <w:style w:type="character" w:styleId="Style10">
    <w:name w:val="Интернет-ссылка"/>
    <w:basedOn w:val="DefaultParagraphFont"/>
    <w:link w:val="17"/>
    <w:rsid w:val="001739ff"/>
    <w:rPr>
      <w:color w:val="0066CC"/>
      <w:u w:val="single"/>
    </w:rPr>
  </w:style>
  <w:style w:type="character" w:styleId="Footnote" w:customStyle="1">
    <w:name w:val="Footnote"/>
    <w:link w:val="Footnote"/>
    <w:qFormat/>
    <w:rsid w:val="001739ff"/>
    <w:rPr>
      <w:rFonts w:ascii="XO Thames" w:hAnsi="XO Thames"/>
      <w:sz w:val="22"/>
    </w:rPr>
  </w:style>
  <w:style w:type="character" w:styleId="Style11" w:customStyle="1">
    <w:name w:val="Верхний колонтитул Знак"/>
    <w:basedOn w:val="11"/>
    <w:link w:val="a6"/>
    <w:qFormat/>
    <w:rsid w:val="001739ff"/>
    <w:rPr/>
  </w:style>
  <w:style w:type="character" w:styleId="15" w:customStyle="1">
    <w:name w:val="Оглавление 1 Знак"/>
    <w:link w:val="18"/>
    <w:qFormat/>
    <w:rsid w:val="001739ff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sid w:val="001739ff"/>
    <w:rPr>
      <w:rFonts w:ascii="XO Thames" w:hAnsi="XO Thames"/>
      <w:sz w:val="28"/>
    </w:rPr>
  </w:style>
  <w:style w:type="character" w:styleId="9" w:customStyle="1">
    <w:name w:val="Оглавление 9 Знак"/>
    <w:link w:val="9"/>
    <w:qFormat/>
    <w:rsid w:val="001739ff"/>
    <w:rPr>
      <w:rFonts w:ascii="XO Thames" w:hAnsi="XO Thames"/>
      <w:sz w:val="28"/>
    </w:rPr>
  </w:style>
  <w:style w:type="character" w:styleId="23" w:customStyle="1">
    <w:name w:val="Заголовок №2"/>
    <w:basedOn w:val="11"/>
    <w:link w:val="25"/>
    <w:qFormat/>
    <w:rsid w:val="001739ff"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3"/>
      <w:u w:val="none"/>
    </w:rPr>
  </w:style>
  <w:style w:type="character" w:styleId="Pta0" w:customStyle="1">
    <w:name w:val="pt-a0"/>
    <w:basedOn w:val="DefaultParagraphFont"/>
    <w:link w:val="pt-a0"/>
    <w:qFormat/>
    <w:rsid w:val="001739ff"/>
    <w:rPr/>
  </w:style>
  <w:style w:type="character" w:styleId="Style12" w:customStyle="1">
    <w:name w:val="Колонтитул"/>
    <w:basedOn w:val="0"/>
    <w:link w:val="a8"/>
    <w:qFormat/>
    <w:rsid w:val="001739ff"/>
    <w:rPr>
      <w:color w:val="000000"/>
      <w:spacing w:val="0"/>
    </w:rPr>
  </w:style>
  <w:style w:type="character" w:styleId="8" w:customStyle="1">
    <w:name w:val="Оглавление 8 Знак"/>
    <w:link w:val="8"/>
    <w:qFormat/>
    <w:rsid w:val="001739ff"/>
    <w:rPr>
      <w:rFonts w:ascii="XO Thames" w:hAnsi="XO Thames"/>
      <w:sz w:val="28"/>
    </w:rPr>
  </w:style>
  <w:style w:type="character" w:styleId="52" w:customStyle="1">
    <w:name w:val="Оглавление 5 Знак"/>
    <w:link w:val="51"/>
    <w:qFormat/>
    <w:rsid w:val="001739ff"/>
    <w:rPr>
      <w:rFonts w:ascii="XO Thames" w:hAnsi="XO Thames"/>
      <w:sz w:val="28"/>
    </w:rPr>
  </w:style>
  <w:style w:type="character" w:styleId="20" w:customStyle="1">
    <w:name w:val="Основной текст (2)_0"/>
    <w:basedOn w:val="11"/>
    <w:link w:val="200"/>
    <w:qFormat/>
    <w:rsid w:val="001739ff"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8"/>
      <w:u w:val="none"/>
    </w:rPr>
  </w:style>
  <w:style w:type="character" w:styleId="Style13" w:customStyle="1">
    <w:name w:val="Подзаголовок Знак"/>
    <w:link w:val="aa"/>
    <w:qFormat/>
    <w:rsid w:val="001739ff"/>
    <w:rPr>
      <w:rFonts w:ascii="XO Thames" w:hAnsi="XO Thames"/>
      <w:i/>
      <w:sz w:val="24"/>
    </w:rPr>
  </w:style>
  <w:style w:type="character" w:styleId="Style14" w:customStyle="1">
    <w:name w:val="Название Знак"/>
    <w:link w:val="ac"/>
    <w:qFormat/>
    <w:rsid w:val="001739ff"/>
    <w:rPr>
      <w:rFonts w:ascii="XO Thames" w:hAnsi="XO Thames"/>
      <w:b/>
      <w:caps/>
      <w:sz w:val="40"/>
    </w:rPr>
  </w:style>
  <w:style w:type="character" w:styleId="42" w:customStyle="1">
    <w:name w:val="Заголовок 4 Знак"/>
    <w:link w:val="4"/>
    <w:qFormat/>
    <w:rsid w:val="001739ff"/>
    <w:rPr>
      <w:rFonts w:ascii="XO Thames" w:hAnsi="XO Thames"/>
      <w:b/>
      <w:sz w:val="24"/>
    </w:rPr>
  </w:style>
  <w:style w:type="character" w:styleId="24" w:customStyle="1">
    <w:name w:val="Заголовок 2 Знак"/>
    <w:link w:val="2"/>
    <w:qFormat/>
    <w:rsid w:val="001739ff"/>
    <w:rPr>
      <w:rFonts w:ascii="XO Thames" w:hAnsi="XO Thames"/>
      <w:b/>
      <w:sz w:val="28"/>
    </w:rPr>
  </w:style>
  <w:style w:type="character" w:styleId="0" w:customStyle="1">
    <w:name w:val="Колонтитул_0"/>
    <w:basedOn w:val="11"/>
    <w:link w:val="0"/>
    <w:qFormat/>
    <w:rsid w:val="001739ff"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19"/>
      <w:u w:val="none"/>
    </w:rPr>
  </w:style>
  <w:style w:type="character" w:styleId="Listlabel1" w:customStyle="1">
    <w:name w:val="listlabel1"/>
    <w:basedOn w:val="DefaultParagraphFont"/>
    <w:qFormat/>
    <w:rsid w:val="001765a3"/>
    <w:rPr/>
  </w:style>
  <w:style w:type="character" w:styleId="Hyperlink" w:customStyle="1">
    <w:name w:val="hyperlink"/>
    <w:basedOn w:val="DefaultParagraphFont"/>
    <w:qFormat/>
    <w:rsid w:val="001765a3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6" w:customStyle="1">
    <w:name w:val="Основной шрифт абзаца1"/>
    <w:link w:val="21"/>
    <w:qFormat/>
    <w:rsid w:val="001739ff"/>
    <w:pPr>
      <w:widowControl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5">
    <w:name w:val="TOC 2"/>
    <w:next w:val="Normal"/>
    <w:link w:val="22"/>
    <w:uiPriority w:val="39"/>
    <w:rsid w:val="001739ff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6" w:customStyle="1">
    <w:name w:val="Основной текст (2)"/>
    <w:basedOn w:val="201"/>
    <w:link w:val="24"/>
    <w:qFormat/>
    <w:rsid w:val="001739ff"/>
    <w:pPr/>
    <w:rPr>
      <w:u w:val="single"/>
    </w:rPr>
  </w:style>
  <w:style w:type="paragraph" w:styleId="43">
    <w:name w:val="TOC 4"/>
    <w:next w:val="Normal"/>
    <w:link w:val="42"/>
    <w:uiPriority w:val="39"/>
    <w:rsid w:val="001739ff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rsid w:val="001739ff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rsid w:val="001739ff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0"/>
    <w:qFormat/>
    <w:rsid w:val="001739ff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7" w:customStyle="1">
    <w:name w:val="Заголовок №1"/>
    <w:basedOn w:val="Normal"/>
    <w:link w:val="14"/>
    <w:qFormat/>
    <w:rsid w:val="001739ff"/>
    <w:pPr>
      <w:spacing w:lineRule="atLeast" w:line="0" w:before="360" w:after="360"/>
      <w:jc w:val="center"/>
      <w:outlineLvl w:val="0"/>
    </w:pPr>
    <w:rPr>
      <w:rFonts w:ascii="Times New Roman" w:hAnsi="Times New Roman"/>
      <w:b/>
      <w:sz w:val="27"/>
    </w:rPr>
  </w:style>
  <w:style w:type="paragraph" w:styleId="33">
    <w:name w:val="TOC 3"/>
    <w:next w:val="Normal"/>
    <w:link w:val="32"/>
    <w:uiPriority w:val="39"/>
    <w:rsid w:val="001739ff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Верхний и нижний колонтитулы"/>
    <w:link w:val="HeaderandFooter0"/>
    <w:qFormat/>
    <w:rsid w:val="001739ff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1">
    <w:name w:val="Footer"/>
    <w:basedOn w:val="Normal"/>
    <w:link w:val="a4"/>
    <w:rsid w:val="001739ff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Основной текст1"/>
    <w:basedOn w:val="Normal"/>
    <w:link w:val="16"/>
    <w:qFormat/>
    <w:rsid w:val="001739ff"/>
    <w:pPr>
      <w:spacing w:lineRule="atLeast" w:line="0" w:before="360" w:after="720"/>
      <w:ind w:hanging="1180"/>
    </w:pPr>
    <w:rPr>
      <w:rFonts w:ascii="Times New Roman" w:hAnsi="Times New Roman"/>
      <w:sz w:val="23"/>
    </w:rPr>
  </w:style>
  <w:style w:type="paragraph" w:styleId="Markedcontent1" w:customStyle="1">
    <w:name w:val="markedcontent"/>
    <w:basedOn w:val="16"/>
    <w:link w:val="markedcontent0"/>
    <w:qFormat/>
    <w:rsid w:val="001739ff"/>
    <w:pPr/>
    <w:rPr/>
  </w:style>
  <w:style w:type="paragraph" w:styleId="19" w:customStyle="1">
    <w:name w:val="Гиперссылка1"/>
    <w:basedOn w:val="16"/>
    <w:link w:val="a5"/>
    <w:qFormat/>
    <w:rsid w:val="001739ff"/>
    <w:pPr/>
    <w:rPr>
      <w:color w:val="0066CC"/>
      <w:u w:val="single"/>
    </w:rPr>
  </w:style>
  <w:style w:type="paragraph" w:styleId="Footnote1" w:customStyle="1">
    <w:name w:val="Footnote"/>
    <w:link w:val="Footnote0"/>
    <w:qFormat/>
    <w:rsid w:val="001739ff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2">
    <w:name w:val="Header"/>
    <w:basedOn w:val="Normal"/>
    <w:link w:val="a7"/>
    <w:rsid w:val="001739ff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110">
    <w:name w:val="TOC 1"/>
    <w:next w:val="Normal"/>
    <w:link w:val="19"/>
    <w:uiPriority w:val="39"/>
    <w:rsid w:val="001739ff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0"/>
    <w:uiPriority w:val="39"/>
    <w:rsid w:val="001739ff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7" w:customStyle="1">
    <w:name w:val="Заголовок №2"/>
    <w:basedOn w:val="Normal"/>
    <w:link w:val="26"/>
    <w:qFormat/>
    <w:rsid w:val="001739ff"/>
    <w:pPr>
      <w:spacing w:lineRule="exact" w:line="278" w:before="720" w:after="600"/>
      <w:jc w:val="center"/>
      <w:outlineLvl w:val="1"/>
    </w:pPr>
    <w:rPr>
      <w:rFonts w:ascii="Times New Roman" w:hAnsi="Times New Roman"/>
      <w:sz w:val="23"/>
    </w:rPr>
  </w:style>
  <w:style w:type="paragraph" w:styleId="Pta01" w:customStyle="1">
    <w:name w:val="pt-a0"/>
    <w:basedOn w:val="16"/>
    <w:link w:val="pt-a00"/>
    <w:qFormat/>
    <w:rsid w:val="001739ff"/>
    <w:pPr/>
    <w:rPr/>
  </w:style>
  <w:style w:type="paragraph" w:styleId="Style23" w:customStyle="1">
    <w:name w:val="Колонтитул"/>
    <w:basedOn w:val="01"/>
    <w:link w:val="a9"/>
    <w:qFormat/>
    <w:rsid w:val="001739ff"/>
    <w:pPr/>
    <w:rPr/>
  </w:style>
  <w:style w:type="paragraph" w:styleId="81">
    <w:name w:val="TOC 8"/>
    <w:next w:val="Normal"/>
    <w:link w:val="80"/>
    <w:uiPriority w:val="39"/>
    <w:rsid w:val="001739ff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1739ff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01" w:customStyle="1">
    <w:name w:val="Основной текст (2)_0"/>
    <w:basedOn w:val="Normal"/>
    <w:link w:val="201"/>
    <w:qFormat/>
    <w:rsid w:val="001739ff"/>
    <w:pPr>
      <w:spacing w:lineRule="exact" w:line="322" w:before="0" w:after="360"/>
      <w:ind w:firstLine="3400"/>
    </w:pPr>
    <w:rPr>
      <w:rFonts w:ascii="Times New Roman" w:hAnsi="Times New Roman"/>
      <w:sz w:val="28"/>
    </w:rPr>
  </w:style>
  <w:style w:type="paragraph" w:styleId="Style24">
    <w:name w:val="Subtitle"/>
    <w:next w:val="Normal"/>
    <w:link w:val="ab"/>
    <w:uiPriority w:val="11"/>
    <w:qFormat/>
    <w:rsid w:val="001739ff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5">
    <w:name w:val="Title"/>
    <w:next w:val="Normal"/>
    <w:link w:val="ad"/>
    <w:uiPriority w:val="10"/>
    <w:qFormat/>
    <w:rsid w:val="001739ff"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01" w:customStyle="1">
    <w:name w:val="Колонтитул_0"/>
    <w:basedOn w:val="Normal"/>
    <w:link w:val="00"/>
    <w:qFormat/>
    <w:rsid w:val="001739ff"/>
    <w:pPr>
      <w:spacing w:lineRule="atLeast" w:line="0"/>
    </w:pPr>
    <w:rPr>
      <w:rFonts w:ascii="Times New Roman" w:hAnsi="Times New Roman"/>
      <w:sz w:val="19"/>
    </w:rPr>
  </w:style>
  <w:style w:type="paragraph" w:styleId="Consplusnormal0" w:customStyle="1">
    <w:name w:val="consplusnormal0"/>
    <w:basedOn w:val="Normal"/>
    <w:qFormat/>
    <w:rsid w:val="001765a3"/>
    <w:pPr>
      <w:widowControl/>
      <w:spacing w:beforeAutospacing="1" w:afterAutospacing="1"/>
    </w:pPr>
    <w:rPr>
      <w:rFonts w:ascii="Times New Roman" w:hAnsi="Times New Roman"/>
      <w:color w:val="auto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minjust.ru/" TargetMode="External"/><Relationship Id="rId4" Type="http://schemas.openxmlformats.org/officeDocument/2006/relationships/hyperlink" Target="https://pravo-search.minjust.ru/bigs/showDocument.html?id=33B9FFE1-E1C8-4A89-A587-A20DFAC9F0C1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LibreOffice/7.1.4.2$Windows_X86_64 LibreOffice_project/a529a4fab45b75fefc5b6226684193eb000654f6</Application>
  <AppVersion>15.0000</AppVersion>
  <Pages>13</Pages>
  <Words>3399</Words>
  <Characters>26560</Characters>
  <CharactersWithSpaces>29919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2026-06-25T09:15:00Z</dcterms:created>
  <dc:creator>OEM</dc:creator>
  <dc:description/>
  <dc:language>ru-RU</dc:language>
  <cp:lastModifiedBy/>
  <dcterms:modified xsi:type="dcterms:W3CDTF">2026-06-25T14:57:48Z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