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D8" w:rsidRPr="00385BD8" w:rsidRDefault="00385BD8" w:rsidP="00385BD8">
      <w:pPr>
        <w:spacing w:after="0" w:line="870" w:lineRule="atLeast"/>
        <w:outlineLvl w:val="0"/>
        <w:rPr>
          <w:rFonts w:ascii="SBSansDisplay" w:eastAsia="Times New Roman" w:hAnsi="SBSansDisplay" w:cs="Times New Roman"/>
          <w:color w:val="000000"/>
          <w:spacing w:val="-5"/>
          <w:kern w:val="36"/>
          <w:sz w:val="63"/>
          <w:szCs w:val="63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kern w:val="36"/>
          <w:sz w:val="63"/>
          <w:szCs w:val="63"/>
          <w:lang w:eastAsia="ru-RU"/>
        </w:rPr>
        <w:t>Новые правила вывоза мусора с 1 сентября 2025 года: что важно знать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С 1 сентября 2025 года вступают в силу новые правила обращения с твёрдыми коммунальными отходами (ТКО). Какие изменения они принесут, разобралась адвокат Ольга Алешина</w:t>
      </w:r>
    </w:p>
    <w:p w:rsidR="00385BD8" w:rsidRPr="00385BD8" w:rsidRDefault="00385BD8" w:rsidP="00385BD8">
      <w:pPr>
        <w:spacing w:after="0" w:line="300" w:lineRule="atLeast"/>
        <w:rPr>
          <w:rFonts w:ascii="SBSansText" w:eastAsia="Times New Roman" w:hAnsi="SBSansText" w:cs="Times New Roman"/>
          <w:color w:val="000000"/>
          <w:spacing w:val="-3"/>
          <w:sz w:val="20"/>
          <w:szCs w:val="20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3"/>
          <w:sz w:val="20"/>
          <w:szCs w:val="20"/>
          <w:lang w:eastAsia="ru-RU"/>
        </w:rPr>
        <w:t>Дата публикации: 2 сентября 2025</w:t>
      </w:r>
    </w:p>
    <w:p w:rsidR="00385BD8" w:rsidRPr="00385BD8" w:rsidRDefault="00385BD8" w:rsidP="00385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1431905" cy="6430010"/>
            <wp:effectExtent l="0" t="0" r="0" b="8890"/>
            <wp:docPr id="1" name="Рисунок 1" descr="https://sber.cdnvideo.ru/images/18424/1756813254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ber.cdnvideo.ru/images/18424/175681325474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905" cy="643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BD8" w:rsidRPr="00385BD8" w:rsidRDefault="00385BD8" w:rsidP="00385BD8">
      <w:pPr>
        <w:spacing w:after="0" w:line="630" w:lineRule="atLeast"/>
        <w:outlineLvl w:val="1"/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lastRenderedPageBreak/>
        <w:t>Почему появились новые правила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В 2019 году началась так называемая мусорная реформа, когда вывозом ТКО стали заниматься не муниципальные учреждения, а региональные операторы. Цели этой реформы — борьба с незаконными свалками и переработка мусора.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В продолжение реализации мусорной реформы были приняты новые</w:t>
      </w:r>
      <w:hyperlink r:id="rId6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 </w:t>
        </w:r>
      </w:hyperlink>
      <w:hyperlink r:id="rId7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Правила обращения с ТКО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. Их задача — навести порядок в этой сфере и повысить ответственность региональных операторов. Они не только уточняют ранее существовавшие правила, но и устанавливают новые. Разберём эти нововведения подробнее.</w:t>
      </w:r>
    </w:p>
    <w:p w:rsidR="00385BD8" w:rsidRPr="00385BD8" w:rsidRDefault="00385BD8" w:rsidP="00385BD8">
      <w:pPr>
        <w:spacing w:after="0" w:line="630" w:lineRule="atLeast"/>
        <w:outlineLvl w:val="1"/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t>Ответственные за площадки по сбору ТКО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С 1 сентября 2025 года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регоператоры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больше не будут отвечать за площадки по сбору мусора. Следить за состоянием таких площадок станет</w:t>
      </w:r>
      <w:hyperlink r:id="rId8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 </w:t>
        </w:r>
      </w:hyperlink>
      <w:hyperlink r:id="rId9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обязанностью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 их собственников. Учитывая, что мусорные площадки многоквартирных домов принадлежат собственникам помещений в таком доме, обязанность отвечать за них возлагается на управляющие компании. За площадки, которые расположены в частном секторе или в сельской местности, отвечает местная администрация.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Теперь управляющие компании и местные администрации должны содержать такие площадки: ремонтировать их, покупать контейнеры и убирать в них тот мусор, который валяется на площадке. Региональные операторы больше не обязаны собирать разбросанное по площадке. Их обязанность — вывезти то, что выброшено в контейнеры. За мусор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отвечает теперь только с момента его погрузки в мусоровоз. А вот убрать место погрузки ТКО в мусоровоз по-прежнему должен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На мусорной площадке УК или местная администрация обязаны разместить такую информацию:</w:t>
      </w:r>
    </w:p>
    <w:p w:rsidR="00385BD8" w:rsidRPr="00385BD8" w:rsidRDefault="00385BD8" w:rsidP="00385BD8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Кто собственник площадки.</w:t>
      </w:r>
    </w:p>
    <w:p w:rsidR="00385BD8" w:rsidRPr="00385BD8" w:rsidRDefault="00385BD8" w:rsidP="00385BD8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График вывоза мусора.</w:t>
      </w:r>
    </w:p>
    <w:p w:rsidR="00385BD8" w:rsidRPr="00385BD8" w:rsidRDefault="00385BD8" w:rsidP="00385BD8">
      <w:pPr>
        <w:numPr>
          <w:ilvl w:val="0"/>
          <w:numId w:val="1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Правила раздельного сбора ТКО, которые действуют в регионе.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Мусорные площадки при наличии возможностей будут оборудовать средствами фото- и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видеофиксации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. Это поможет следить не только за тем, как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исполняет свои обязанности, но и оценивать, как жильцы соблюдают правила обращения с ТКО.</w:t>
      </w:r>
    </w:p>
    <w:p w:rsidR="00385BD8" w:rsidRPr="00385BD8" w:rsidRDefault="00385BD8" w:rsidP="00385BD8">
      <w:pPr>
        <w:shd w:val="clear" w:color="auto" w:fill="EAF8EA"/>
        <w:spacing w:after="120" w:line="420" w:lineRule="atLeast"/>
        <w:outlineLvl w:val="4"/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  <w:t>Важно!</w:t>
      </w:r>
    </w:p>
    <w:p w:rsidR="00385BD8" w:rsidRPr="00385BD8" w:rsidRDefault="00385BD8" w:rsidP="00385BD8">
      <w:pPr>
        <w:shd w:val="clear" w:color="auto" w:fill="EAF8EA"/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В сельской местности разрешено не обустраивать отдельные контейнерные площадки. В этом случае жильцам предлагают иной способ сбора ТКО. К примеру, они складывают мусор в пакетах в установленное место, откуда его и вывозят.</w:t>
      </w:r>
    </w:p>
    <w:p w:rsidR="00385BD8" w:rsidRPr="00385BD8" w:rsidRDefault="00385BD8" w:rsidP="00385BD8">
      <w:pPr>
        <w:spacing w:after="0" w:line="630" w:lineRule="atLeast"/>
        <w:outlineLvl w:val="1"/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t>Контейнеры по цветам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Одна из главных целей мусорной реформы — сократить складирование ТКО на свалках и проводить его сортировку с последующей переработкой. Для этого внедряют раздельный сбор </w:t>
      </w: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lastRenderedPageBreak/>
        <w:t>ТКО, когда разные виды мусора нужно выбрасывать в контейнеры разных цветов. Такие уже появились во многих крупных городах.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Но в разных регионах используют свои цвета и обозначения. Чтобы устранить эту путаницу, вводится единая система цветовой маркировки мусорных контейнеров. Правилами утверждено использование таких</w:t>
      </w:r>
      <w:hyperlink r:id="rId10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 </w:t>
        </w:r>
      </w:hyperlink>
      <w:hyperlink r:id="rId11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цветов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: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b/>
          <w:bCs/>
          <w:color w:val="000000"/>
          <w:spacing w:val="-5"/>
          <w:sz w:val="24"/>
          <w:szCs w:val="24"/>
          <w:lang w:eastAsia="ru-RU"/>
        </w:rPr>
        <w:t>Серый</w:t>
      </w: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 — для смешанных несортированных отходов.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b/>
          <w:bCs/>
          <w:color w:val="000000"/>
          <w:spacing w:val="-5"/>
          <w:sz w:val="24"/>
          <w:szCs w:val="24"/>
          <w:lang w:eastAsia="ru-RU"/>
        </w:rPr>
        <w:t>Оранжевый</w:t>
      </w: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 — для пластмассы, лома чёрных и цветных металлов.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b/>
          <w:bCs/>
          <w:color w:val="000000"/>
          <w:spacing w:val="-5"/>
          <w:sz w:val="24"/>
          <w:szCs w:val="24"/>
          <w:lang w:eastAsia="ru-RU"/>
        </w:rPr>
        <w:t>Коричневый</w:t>
      </w: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 — для пищевых отходов.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b/>
          <w:bCs/>
          <w:color w:val="000000"/>
          <w:spacing w:val="-5"/>
          <w:sz w:val="24"/>
          <w:szCs w:val="24"/>
          <w:lang w:eastAsia="ru-RU"/>
        </w:rPr>
        <w:t>Зелёный</w:t>
      </w: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 — для стекла.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b/>
          <w:bCs/>
          <w:color w:val="000000"/>
          <w:spacing w:val="-5"/>
          <w:sz w:val="24"/>
          <w:szCs w:val="24"/>
          <w:lang w:eastAsia="ru-RU"/>
        </w:rPr>
        <w:t>Синий</w:t>
      </w: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 — для нескольких групп однородных отходов. Например, для бумаги, шин и покрышек.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Перейти на использование контейнеров с такими цветами нужно до 1 января 2030 года. А до этого времени разрешается использовать контейнеры других цветов. В таком случае на них обязательно размещают наклейки, таблички или трафареты, из которых понятно, что в какой бак разрешено выбрасывать.</w:t>
      </w:r>
    </w:p>
    <w:p w:rsidR="00385BD8" w:rsidRPr="00385BD8" w:rsidRDefault="00385BD8" w:rsidP="00385BD8">
      <w:pPr>
        <w:shd w:val="clear" w:color="auto" w:fill="EAF8EA"/>
        <w:spacing w:after="120" w:line="420" w:lineRule="atLeast"/>
        <w:outlineLvl w:val="4"/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  <w:t>Важно!</w:t>
      </w:r>
    </w:p>
    <w:p w:rsidR="00385BD8" w:rsidRPr="00385BD8" w:rsidRDefault="00385BD8" w:rsidP="00385BD8">
      <w:pPr>
        <w:shd w:val="clear" w:color="auto" w:fill="EAF8EA"/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Правила запрещают выбрасывать мусор в контейнеры, которые не предназначены для такого вида ТКО. К примеру, пластик в зелёный контейнер. Но ответственность за такие нарушения в настоящее время не установлена.</w:t>
      </w:r>
    </w:p>
    <w:p w:rsidR="00385BD8" w:rsidRPr="00385BD8" w:rsidRDefault="00385BD8" w:rsidP="00385BD8">
      <w:pPr>
        <w:spacing w:after="0" w:line="630" w:lineRule="atLeast"/>
        <w:outlineLvl w:val="1"/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t>Что запрещено выбрасывать в контейнеры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В контейнеры разрешено выбрасывать только твёрдые коммунальные отходы. Это бытовой мусор из жилых помещений. Правила устанавливают, что в мусорные контейнеры</w:t>
      </w:r>
      <w:hyperlink r:id="rId12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 </w:t>
        </w:r>
      </w:hyperlink>
      <w:hyperlink r:id="rId13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запрещается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 выбрасывать:</w:t>
      </w:r>
    </w:p>
    <w:p w:rsidR="00385BD8" w:rsidRPr="00385BD8" w:rsidRDefault="00385BD8" w:rsidP="00385BD8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Горячие, раскалённые или горящие отходы.</w:t>
      </w:r>
    </w:p>
    <w:p w:rsidR="00385BD8" w:rsidRPr="00385BD8" w:rsidRDefault="00385BD8" w:rsidP="00385BD8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Снег и лёд.</w:t>
      </w:r>
    </w:p>
    <w:p w:rsidR="00385BD8" w:rsidRPr="00385BD8" w:rsidRDefault="00385BD8" w:rsidP="00385BD8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Электрические лампы и осветительные приборы, если они содержат ртуть.</w:t>
      </w:r>
    </w:p>
    <w:p w:rsidR="00385BD8" w:rsidRPr="00385BD8" w:rsidRDefault="00385BD8" w:rsidP="00385BD8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Батарейки и аккумуляторы.</w:t>
      </w:r>
    </w:p>
    <w:p w:rsidR="00385BD8" w:rsidRPr="00385BD8" w:rsidRDefault="00385BD8" w:rsidP="00385BD8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Медицинские отходы. Это, к примеру, лекарства с истёкшим сроком годности, использованные медицинские инструменты.</w:t>
      </w:r>
    </w:p>
    <w:p w:rsidR="00385BD8" w:rsidRPr="00385BD8" w:rsidRDefault="00385BD8" w:rsidP="00385BD8">
      <w:pPr>
        <w:numPr>
          <w:ilvl w:val="0"/>
          <w:numId w:val="2"/>
        </w:numPr>
        <w:spacing w:after="0" w:line="360" w:lineRule="atLeast"/>
        <w:ind w:left="0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Отходы строительства и ремонта. Исключение — текущий ремонт. К примеру, выбросить старые обои разрешено, а вот отслужившие радиаторы отопления уже нельзя.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Новые правила не очень порадуют дачников. Теперь в них чётко прописано, что запрещено выбрасывать в контейнеры и складировать на мусорной площадке отходы, которые образовались при уходе за древесно-кустарниковыми посадками. Это ветки, листья, трава, ботва и другие растительные отходы.</w:t>
      </w:r>
    </w:p>
    <w:p w:rsidR="00385BD8" w:rsidRPr="00385BD8" w:rsidRDefault="00385BD8" w:rsidP="00385BD8">
      <w:pPr>
        <w:shd w:val="clear" w:color="auto" w:fill="EAF8EA"/>
        <w:spacing w:after="120" w:line="420" w:lineRule="atLeast"/>
        <w:outlineLvl w:val="4"/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  <w:t>Важно!</w:t>
      </w:r>
    </w:p>
    <w:p w:rsidR="00385BD8" w:rsidRPr="00385BD8" w:rsidRDefault="00385BD8" w:rsidP="00385BD8">
      <w:pPr>
        <w:shd w:val="clear" w:color="auto" w:fill="EAF8EA"/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lastRenderedPageBreak/>
        <w:t>Растительный, строительный и другой мусор, не относящийся к ТКО, нужно самостоятельно вывозить на специализированные полигоны. Нарушителям грозит привлечение к административной</w:t>
      </w:r>
      <w:hyperlink r:id="rId14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 </w:t>
        </w:r>
      </w:hyperlink>
      <w:hyperlink r:id="rId15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ответственности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 с наложением штрафа от 2 тыс. до 3 тыс. рублей.</w:t>
      </w:r>
    </w:p>
    <w:p w:rsidR="00385BD8" w:rsidRPr="00385BD8" w:rsidRDefault="00385BD8" w:rsidP="00385BD8">
      <w:pPr>
        <w:spacing w:after="0" w:line="630" w:lineRule="atLeast"/>
        <w:outlineLvl w:val="1"/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</w:pPr>
      <w:proofErr w:type="spellStart"/>
      <w:r w:rsidRPr="00385BD8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t>Фандоматы</w:t>
      </w:r>
      <w:proofErr w:type="spellEnd"/>
      <w:r w:rsidRPr="00385BD8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t xml:space="preserve"> и пункты вторсырья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В городах планируется</w:t>
      </w:r>
      <w:hyperlink r:id="rId16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 </w:t>
        </w:r>
      </w:hyperlink>
      <w:hyperlink r:id="rId17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открывать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 специальные пункты приёма вторсырья и автоматические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фандоматы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. Туда можно будет сдать, к примеру, макулатуру или аккумуляторные батарейки. За сдачу такого вторсырья будут выплачивать вознаграждение.</w:t>
      </w:r>
    </w:p>
    <w:p w:rsidR="00385BD8" w:rsidRPr="00385BD8" w:rsidRDefault="00385BD8" w:rsidP="00385BD8">
      <w:pPr>
        <w:spacing w:after="0" w:line="630" w:lineRule="atLeast"/>
        <w:outlineLvl w:val="1"/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t xml:space="preserve">Ответственность </w:t>
      </w:r>
      <w:proofErr w:type="spellStart"/>
      <w:r w:rsidRPr="00385BD8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t>регоператора</w:t>
      </w:r>
      <w:proofErr w:type="spellEnd"/>
      <w:r w:rsidRPr="00385BD8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t xml:space="preserve"> за нарушение графика вывоза мусора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Одна из главных жалоб граждан на региональных операторов — нарушение графика вывоза мусора. С 1 сентября утверждается новая форма</w:t>
      </w:r>
      <w:hyperlink r:id="rId18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 </w:t>
        </w:r>
      </w:hyperlink>
      <w:hyperlink r:id="rId19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типового договора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 на оказание услуг по обращению с ТКО для регионального оператора и потребителя. В п. 20 такого договора установлена</w:t>
      </w:r>
      <w:hyperlink r:id="rId20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 </w:t>
        </w:r>
      </w:hyperlink>
      <w:hyperlink r:id="rId21" w:tgtFrame="_blank" w:history="1">
        <w:r w:rsidRPr="00385BD8">
          <w:rPr>
            <w:rFonts w:ascii="SBSansText" w:eastAsia="Times New Roman" w:hAnsi="SBSansText" w:cs="Times New Roman"/>
            <w:color w:val="148F2B"/>
            <w:spacing w:val="-5"/>
            <w:sz w:val="24"/>
            <w:szCs w:val="24"/>
            <w:u w:val="single"/>
            <w:lang w:eastAsia="ru-RU"/>
          </w:rPr>
          <w:t>ответственность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 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регоператора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, который вывозит ТКО не вовремя. Ответственность наступает, когда в течение расчётного периода (календарный месяц)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не вывозит ТКО: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В течение двух дней подряд со дня вывоза ТКО по графику, если среднесуточная температура воздуха +5 °С или ниже.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Один день со дня вывоза по графику, если среднесуточная температура воздуха выше + 5 °С.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В таких случаях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обязан при выставлении квитанции на оплату за месяц, в котором нарушен график вывоза мусора, за каждый день отклонения от графика снизить плату за обращение с ТКО на 3,3%. Например, вы ежемесячно платите за обращение с ТКО 350 рублей. В течение месяца мусор не вывозили неделю. Квитанцию вам должны выставить со снижением платы на 80,85 рубля.</w:t>
      </w:r>
    </w:p>
    <w:p w:rsidR="00385BD8" w:rsidRPr="00385BD8" w:rsidRDefault="00385BD8" w:rsidP="00385BD8">
      <w:pPr>
        <w:shd w:val="clear" w:color="auto" w:fill="EAF8EA"/>
        <w:spacing w:after="120" w:line="420" w:lineRule="atLeast"/>
        <w:outlineLvl w:val="4"/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  <w:t>Важно!</w:t>
      </w:r>
    </w:p>
    <w:p w:rsidR="00385BD8" w:rsidRPr="00385BD8" w:rsidRDefault="00385BD8" w:rsidP="00385BD8">
      <w:pPr>
        <w:shd w:val="clear" w:color="auto" w:fill="EAF8EA"/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не сделает перерасчёт автоматически. Необходимо зафиксировать нарушение и составить акт по правилам, которые прописаны в </w:t>
      </w:r>
      <w:hyperlink r:id="rId22" w:tgtFrame="_blank" w:history="1">
        <w:r w:rsidRPr="00385BD8">
          <w:rPr>
            <w:rFonts w:ascii="SBSansText" w:eastAsia="Times New Roman" w:hAnsi="SBSansText" w:cs="Times New Roman"/>
            <w:color w:val="0D8523"/>
            <w:spacing w:val="-5"/>
            <w:sz w:val="24"/>
            <w:szCs w:val="24"/>
            <w:u w:val="single"/>
            <w:lang w:eastAsia="ru-RU"/>
          </w:rPr>
          <w:t>разделе V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типового договора. Поэтому, если у вас долго не вывозят мусор, обращайтесь в свою управляющую компанию с жалобой. Представители УК обязаны составить акт и направить его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регоператору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для перерасчёта жильцам платы за ТКО.</w:t>
      </w:r>
    </w:p>
    <w:p w:rsidR="00385BD8" w:rsidRPr="00385BD8" w:rsidRDefault="00385BD8" w:rsidP="00385BD8">
      <w:pPr>
        <w:spacing w:after="0" w:line="630" w:lineRule="atLeast"/>
        <w:outlineLvl w:val="1"/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48"/>
          <w:szCs w:val="48"/>
          <w:lang w:eastAsia="ru-RU"/>
        </w:rPr>
        <w:t>Можно ли не платить за вывоз мусора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Многие считают, что они не обязаны оплачивать вывоз мусора, так как письменного договора с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регоператором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не заключали. Но закон </w:t>
      </w:r>
      <w:hyperlink r:id="rId23" w:tgtFrame="_blank" w:history="1">
        <w:r w:rsidRPr="00385BD8">
          <w:rPr>
            <w:rFonts w:ascii="SBSansText" w:eastAsia="Times New Roman" w:hAnsi="SBSansText" w:cs="Times New Roman"/>
            <w:color w:val="0D8523"/>
            <w:spacing w:val="-5"/>
            <w:sz w:val="24"/>
            <w:szCs w:val="24"/>
            <w:u w:val="single"/>
            <w:lang w:eastAsia="ru-RU"/>
          </w:rPr>
          <w:t>обязывает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своевременно и полностью оплачивать коммунальные услуги, к которым также относится и обращение с ТКО.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не обязан заключать отдельный договор с каждым человеком. Он только сообщает о необходимости его заключить, размещая такое сообщение и типовой договор на своём официальном сайте и в местных средствах массовой информации. В течение 15 дней с момента такой публикации </w:t>
      </w: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lastRenderedPageBreak/>
        <w:t xml:space="preserve">собственник жилого помещения обязан направить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регоператору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заявку на заключение договора, а ему предоставят договор для подписания. При отсутствии заявки договор считается заключённым на 16-й день после опубликования на сайте </w:t>
      </w:r>
      <w:proofErr w:type="spell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регоператора</w:t>
      </w:r>
      <w:proofErr w:type="spell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на </w:t>
      </w:r>
      <w:hyperlink r:id="rId24" w:tgtFrame="_blank" w:history="1">
        <w:r w:rsidRPr="00385BD8">
          <w:rPr>
            <w:rFonts w:ascii="SBSansText" w:eastAsia="Times New Roman" w:hAnsi="SBSansText" w:cs="Times New Roman"/>
            <w:color w:val="0D8523"/>
            <w:spacing w:val="-5"/>
            <w:sz w:val="24"/>
            <w:szCs w:val="24"/>
            <w:u w:val="single"/>
            <w:lang w:eastAsia="ru-RU"/>
          </w:rPr>
          <w:t>типовых условиях.</w:t>
        </w:r>
      </w:hyperlink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Собственники нескольких объектов недвижимости, </w:t>
      </w:r>
      <w:proofErr w:type="gramStart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к примеру</w:t>
      </w:r>
      <w:proofErr w:type="gramEnd"/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двух квартир, обязаны платить за вывоз ТКО в обеих квартирах. Платить нужно, даже если человек постоянно живёт в одной, а вторая пустует. Это кажется нелогичным, ведь если нет жильцов, значит, нет и мусора. Многие не согласны с этим и пытаются в суде добиться отмены оплаты по одной из квартир. Но, как неоднократно указывали В</w:t>
      </w:r>
      <w:hyperlink r:id="rId25" w:tgtFrame="_blank" w:history="1">
        <w:r w:rsidRPr="00385BD8">
          <w:rPr>
            <w:rFonts w:ascii="SBSansText" w:eastAsia="Times New Roman" w:hAnsi="SBSansText" w:cs="Times New Roman"/>
            <w:color w:val="0D8523"/>
            <w:spacing w:val="-5"/>
            <w:sz w:val="24"/>
            <w:szCs w:val="24"/>
            <w:u w:val="single"/>
            <w:lang w:eastAsia="ru-RU"/>
          </w:rPr>
          <w:t>ерховный Суд РФ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 xml:space="preserve"> и </w:t>
      </w:r>
      <w:hyperlink r:id="rId26" w:tgtFrame="_blank" w:history="1">
        <w:r w:rsidRPr="00385BD8">
          <w:rPr>
            <w:rFonts w:ascii="SBSansText" w:eastAsia="Times New Roman" w:hAnsi="SBSansText" w:cs="Times New Roman"/>
            <w:color w:val="0D8523"/>
            <w:spacing w:val="-5"/>
            <w:sz w:val="24"/>
            <w:szCs w:val="24"/>
            <w:u w:val="single"/>
            <w:lang w:eastAsia="ru-RU"/>
          </w:rPr>
          <w:t>Конституционный Суд РФ</w:t>
        </w:r>
      </w:hyperlink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, оплачивать обращение с ТКО собственник обязан за все принадлежащие ему квартиры и дома, даже если в них никто не живёт.</w:t>
      </w:r>
    </w:p>
    <w:p w:rsidR="00385BD8" w:rsidRPr="00385BD8" w:rsidRDefault="00385BD8" w:rsidP="00385BD8">
      <w:pPr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Некоторые собственники частных жилых домов не желают платить за обращение с ТКО, мотивируя тем, что услугой по вывозу мусора они не пользуются: образовавшиеся отходы они сжигают или закапывают на своём участке. До начала мусорной реформы в 2019 году многим из них удавалось в суде списать задолженности за вывоз ТКО. Но в настоящее время все собственники домовладений обязаны оплачивать услуги за вывоз мусора. Нужно помнить, что сжигание и закапывание бытовых отходов относятся к незаконной утилизации ТКО, что является серьёзным нарушением санитарных норм.</w:t>
      </w:r>
    </w:p>
    <w:p w:rsidR="00385BD8" w:rsidRPr="00385BD8" w:rsidRDefault="00385BD8" w:rsidP="00385BD8">
      <w:pPr>
        <w:shd w:val="clear" w:color="auto" w:fill="EAF8EA"/>
        <w:spacing w:after="120" w:line="420" w:lineRule="atLeast"/>
        <w:outlineLvl w:val="4"/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sz w:val="30"/>
          <w:szCs w:val="30"/>
          <w:lang w:eastAsia="ru-RU"/>
        </w:rPr>
        <w:t>Важно!</w:t>
      </w:r>
    </w:p>
    <w:p w:rsidR="00385BD8" w:rsidRPr="00385BD8" w:rsidRDefault="00385BD8" w:rsidP="00385BD8">
      <w:pPr>
        <w:shd w:val="clear" w:color="auto" w:fill="EAF8EA"/>
        <w:spacing w:after="0" w:line="360" w:lineRule="atLeast"/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</w:pPr>
      <w:r w:rsidRPr="00385BD8">
        <w:rPr>
          <w:rFonts w:ascii="SBSansText" w:eastAsia="Times New Roman" w:hAnsi="SBSansText" w:cs="Times New Roman"/>
          <w:color w:val="000000"/>
          <w:spacing w:val="-5"/>
          <w:sz w:val="24"/>
          <w:szCs w:val="24"/>
          <w:lang w:eastAsia="ru-RU"/>
        </w:rPr>
        <w:t>Во всех перечисленных случаях собственники обязаны оплачивать вывоз ТКО, и новые правила никаких изменений на этот счёт не содержат.</w:t>
      </w:r>
    </w:p>
    <w:p w:rsidR="00A36362" w:rsidRPr="00385BD8" w:rsidRDefault="00A36362" w:rsidP="00A36362">
      <w:pPr>
        <w:spacing w:after="0" w:line="870" w:lineRule="atLeast"/>
        <w:outlineLvl w:val="0"/>
        <w:rPr>
          <w:rFonts w:ascii="SBSansDisplay" w:eastAsia="Times New Roman" w:hAnsi="SBSansDisplay" w:cs="Times New Roman"/>
          <w:color w:val="000000"/>
          <w:spacing w:val="-5"/>
          <w:kern w:val="36"/>
          <w:sz w:val="20"/>
          <w:szCs w:val="20"/>
          <w:lang w:eastAsia="ru-RU"/>
        </w:rPr>
      </w:pPr>
      <w:r w:rsidRPr="00385BD8">
        <w:rPr>
          <w:rFonts w:ascii="SBSansDisplay" w:eastAsia="Times New Roman" w:hAnsi="SBSansDisplay" w:cs="Times New Roman"/>
          <w:color w:val="000000"/>
          <w:spacing w:val="-5"/>
          <w:kern w:val="36"/>
          <w:sz w:val="20"/>
          <w:szCs w:val="20"/>
          <w:lang w:eastAsia="ru-RU"/>
        </w:rPr>
        <w:t>https://www.sberbank.ru/ru/aktivniy_vozrast/blog/life/novye-pravila-vyvoza-musora-s-1-sentyabrya</w:t>
      </w:r>
    </w:p>
    <w:p w:rsidR="00526712" w:rsidRDefault="00526712">
      <w:bookmarkStart w:id="0" w:name="_GoBack"/>
      <w:bookmarkEnd w:id="0"/>
    </w:p>
    <w:sectPr w:rsidR="0052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BSansDisplay">
    <w:altName w:val="Times New Roman"/>
    <w:panose1 w:val="00000000000000000000"/>
    <w:charset w:val="00"/>
    <w:family w:val="roman"/>
    <w:notTrueType/>
    <w:pitch w:val="default"/>
  </w:font>
  <w:font w:name="SBSans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2E92"/>
    <w:multiLevelType w:val="multilevel"/>
    <w:tmpl w:val="AAD6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573C0"/>
    <w:multiLevelType w:val="multilevel"/>
    <w:tmpl w:val="B678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D8"/>
    <w:rsid w:val="00385BD8"/>
    <w:rsid w:val="003873DC"/>
    <w:rsid w:val="00526712"/>
    <w:rsid w:val="00A3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76E20-E962-4B3F-8697-DAC3DF45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5B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5B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85BD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B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5B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85B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k-sbol-text">
    <w:name w:val="dk-sbol-text"/>
    <w:basedOn w:val="a"/>
    <w:rsid w:val="0038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385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5BD8"/>
    <w:rPr>
      <w:color w:val="0000FF"/>
      <w:u w:val="single"/>
    </w:rPr>
  </w:style>
  <w:style w:type="character" w:styleId="a4">
    <w:name w:val="Strong"/>
    <w:basedOn w:val="a0"/>
    <w:uiPriority w:val="22"/>
    <w:qFormat/>
    <w:rsid w:val="00385BD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5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8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64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95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97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726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2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5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86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9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8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8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1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8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4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0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4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1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3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25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22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9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0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13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53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9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39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80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9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4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39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AEDEB5"/>
                                        <w:left w:val="single" w:sz="6" w:space="15" w:color="AEDEB5"/>
                                        <w:bottom w:val="single" w:sz="6" w:space="12" w:color="AEDEB5"/>
                                        <w:right w:val="single" w:sz="6" w:space="15" w:color="AEDEB5"/>
                                      </w:divBdr>
                                      <w:divsChild>
                                        <w:div w:id="1807821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1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27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6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9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5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6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0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366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1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2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3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37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91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AEDEB5"/>
                                        <w:left w:val="single" w:sz="6" w:space="15" w:color="AEDEB5"/>
                                        <w:bottom w:val="single" w:sz="6" w:space="12" w:color="AEDEB5"/>
                                        <w:right w:val="single" w:sz="6" w:space="15" w:color="AEDEB5"/>
                                      </w:divBdr>
                                      <w:divsChild>
                                        <w:div w:id="41683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36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60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3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2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9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6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46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30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16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AEDEB5"/>
                                        <w:left w:val="single" w:sz="6" w:space="15" w:color="AEDEB5"/>
                                        <w:bottom w:val="single" w:sz="6" w:space="12" w:color="AEDEB5"/>
                                        <w:right w:val="single" w:sz="6" w:space="15" w:color="AEDEB5"/>
                                      </w:divBdr>
                                      <w:divsChild>
                                        <w:div w:id="56048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8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0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4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99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8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21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4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3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9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47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7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2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27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00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AEDEB5"/>
                                        <w:left w:val="single" w:sz="6" w:space="15" w:color="AEDEB5"/>
                                        <w:bottom w:val="single" w:sz="6" w:space="12" w:color="AEDEB5"/>
                                        <w:right w:val="single" w:sz="6" w:space="15" w:color="AEDEB5"/>
                                      </w:divBdr>
                                      <w:divsChild>
                                        <w:div w:id="1561282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43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72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2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541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77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1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75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5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30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7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AEDEB5"/>
                                        <w:left w:val="single" w:sz="6" w:space="15" w:color="AEDEB5"/>
                                        <w:bottom w:val="single" w:sz="6" w:space="12" w:color="AEDEB5"/>
                                        <w:right w:val="single" w:sz="6" w:space="15" w:color="AEDEB5"/>
                                      </w:divBdr>
                                      <w:divsChild>
                                        <w:div w:id="25691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03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059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0887/a91de3fc6e2aa2a7ecbc9b93c4956f3c02159a20" TargetMode="External"/><Relationship Id="rId13" Type="http://schemas.openxmlformats.org/officeDocument/2006/relationships/hyperlink" Target="https://www.consultant.ru/document/cons_doc_LAW_500887/a91de3fc6e2aa2a7ecbc9b93c4956f3c02159a20" TargetMode="External"/><Relationship Id="rId18" Type="http://schemas.openxmlformats.org/officeDocument/2006/relationships/hyperlink" Target="https://www.consultant.ru/document/cons_doc_LAW_500887/1ed9cd24dae317c602055ce0d205e5bdb189cc46" TargetMode="External"/><Relationship Id="rId26" Type="http://schemas.openxmlformats.org/officeDocument/2006/relationships/hyperlink" Target="https://legalacts.ru/sud/opredelenie-konstitutsionnogo-suda-rf-ot-05122022-n-3212-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500887/aadf54b53877639a020116ec9f0655789ff5e661" TargetMode="External"/><Relationship Id="rId7" Type="http://schemas.openxmlformats.org/officeDocument/2006/relationships/hyperlink" Target="https://www.consultant.ru/document/cons_doc_LAW_500887" TargetMode="External"/><Relationship Id="rId12" Type="http://schemas.openxmlformats.org/officeDocument/2006/relationships/hyperlink" Target="https://www.consultant.ru/document/cons_doc_LAW_500887/a91de3fc6e2aa2a7ecbc9b93c4956f3c02159a20" TargetMode="External"/><Relationship Id="rId17" Type="http://schemas.openxmlformats.org/officeDocument/2006/relationships/hyperlink" Target="https://www.consultant.ru/document/cons_doc_LAW_500887/a91de3fc6e2aa2a7ecbc9b93c4956f3c02159a20" TargetMode="External"/><Relationship Id="rId25" Type="http://schemas.openxmlformats.org/officeDocument/2006/relationships/hyperlink" Target="https://legalacts.ru/sud/reshenie-sudebnoi-kollegii-po-administrativnym-delam-verkhovnogo-suda-rf-ot-23042021-n-akpi21-12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500887/a91de3fc6e2aa2a7ecbc9b93c4956f3c02159a20" TargetMode="External"/><Relationship Id="rId20" Type="http://schemas.openxmlformats.org/officeDocument/2006/relationships/hyperlink" Target="https://www.consultant.ru/document/cons_doc_LAW_500887/aadf54b53877639a020116ec9f0655789ff5e6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0887" TargetMode="External"/><Relationship Id="rId11" Type="http://schemas.openxmlformats.org/officeDocument/2006/relationships/hyperlink" Target="https://www.consultant.ru/document/cons_doc_LAW_500887/a91de3fc6e2aa2a7ecbc9b93c4956f3c02159a20" TargetMode="External"/><Relationship Id="rId24" Type="http://schemas.openxmlformats.org/officeDocument/2006/relationships/hyperlink" Target="https://www.consultant.ru/document/cons_doc_LAW_500887/1ed9cd24dae317c602055ce0d205e5bdb189cc46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consultant.ru/document/cons_doc_LAW_34661/43d2b6416a74a097f53f54a4766eea13670142b5" TargetMode="External"/><Relationship Id="rId23" Type="http://schemas.openxmlformats.org/officeDocument/2006/relationships/hyperlink" Target="https://www.consultant.ru/document/cons_doc_LAW_51057/ac25f6674014f4e07bc0bce2fed78ef07ecda1a9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consultant.ru/document/cons_doc_LAW_500887/a91de3fc6e2aa2a7ecbc9b93c4956f3c02159a20" TargetMode="External"/><Relationship Id="rId19" Type="http://schemas.openxmlformats.org/officeDocument/2006/relationships/hyperlink" Target="https://www.consultant.ru/document/cons_doc_LAW_500887/1ed9cd24dae317c602055ce0d205e5bdb189cc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00887/a91de3fc6e2aa2a7ecbc9b93c4956f3c02159a20" TargetMode="External"/><Relationship Id="rId14" Type="http://schemas.openxmlformats.org/officeDocument/2006/relationships/hyperlink" Target="https://www.consultant.ru/document/cons_doc_LAW_34661/43d2b6416a74a097f53f54a4766eea13670142b5" TargetMode="External"/><Relationship Id="rId22" Type="http://schemas.openxmlformats.org/officeDocument/2006/relationships/hyperlink" Target="https://www.consultant.ru/document/cons_doc_LAW_500887/1a50b3280762aa2ba1114b629dfa59cebbfb186d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3814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sa_il</dc:creator>
  <cp:lastModifiedBy>User1</cp:lastModifiedBy>
  <cp:revision>2</cp:revision>
  <dcterms:created xsi:type="dcterms:W3CDTF">2026-03-11T12:09:00Z</dcterms:created>
  <dcterms:modified xsi:type="dcterms:W3CDTF">2026-03-19T10:26:00Z</dcterms:modified>
</cp:coreProperties>
</file>