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>
      <w:pPr>
        <w:jc w:val="center"/>
        <w:rPr>
          <w:b/>
          <w:sz w:val="28"/>
          <w:szCs w:val="28"/>
          <w:u w:val="single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КАЛАЧЕВСКОГО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РАЙОНАВОЛГОГРАДСКОЙ ОБЛАСТИ </w:t>
      </w:r>
    </w:p>
    <w:p w:rsidR="00C91E69" w:rsidRDefault="007841B9">
      <w:pPr>
        <w:pBdr>
          <w:top w:val="thinThickSmallGap" w:sz="24" w:space="1" w:color="000000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C91E69" w:rsidRDefault="00EF7404">
      <w:pPr>
        <w:pBdr>
          <w:top w:val="thinThickSmallGap" w:sz="24" w:space="1" w:color="000000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</w:t>
      </w:r>
      <w:r w:rsidR="007841B9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03</w:t>
      </w:r>
      <w:r w:rsidR="007841B9">
        <w:rPr>
          <w:b/>
          <w:color w:val="000000" w:themeColor="text1"/>
          <w:sz w:val="28"/>
          <w:szCs w:val="28"/>
        </w:rPr>
        <w:t>.202</w:t>
      </w:r>
      <w:r>
        <w:rPr>
          <w:b/>
          <w:color w:val="000000" w:themeColor="text1"/>
          <w:sz w:val="28"/>
          <w:szCs w:val="28"/>
        </w:rPr>
        <w:t>2</w:t>
      </w:r>
      <w:r w:rsidR="007841B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№  </w:t>
      </w:r>
      <w:r>
        <w:rPr>
          <w:b/>
          <w:color w:val="000000" w:themeColor="text1"/>
          <w:sz w:val="28"/>
          <w:szCs w:val="28"/>
        </w:rPr>
        <w:t>36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 внесении изменений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муниципальной программы  «Сохранение и развитие культуры 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 на 2021-2023 годы»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sz w:val="28"/>
          <w:szCs w:val="28"/>
        </w:rPr>
        <w:t xml:space="preserve">В целях актуализации отдельных положений </w:t>
      </w:r>
      <w:r>
        <w:rPr>
          <w:color w:val="000000" w:themeColor="text1"/>
          <w:sz w:val="28"/>
          <w:szCs w:val="28"/>
        </w:rPr>
        <w:t>муниципальной программы «Сохранение и развитие культуры Ильевского сельского поселения на 2021-2023 годы»</w:t>
      </w:r>
      <w:r>
        <w:rPr>
          <w:sz w:val="28"/>
          <w:szCs w:val="28"/>
        </w:rPr>
        <w:t>, 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326-р «Об утверждении Стратегии государственной культурной политики на период до 2030 года»,</w:t>
      </w:r>
      <w:r w:rsidR="00EF740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</w:t>
      </w:r>
      <w:proofErr w:type="gramEnd"/>
      <w:r>
        <w:rPr>
          <w:color w:val="000000" w:themeColor="text1"/>
          <w:sz w:val="28"/>
          <w:szCs w:val="28"/>
        </w:rPr>
        <w:t>,  Администрация Ильевского сельского поселения Калачевского муниципального района Волгоградской области</w:t>
      </w:r>
    </w:p>
    <w:p w:rsidR="00C91E69" w:rsidRDefault="007841B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я е т: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 муниципальной программы «Сохранение и развитие культуры Ильевского сельского поселения на 2021-2023 годы» и изложить в редакции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№1.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C91E69" w:rsidRDefault="00C91E6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Ильевского</w:t>
      </w: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b/>
          <w:color w:val="000000" w:themeColor="text1"/>
          <w:sz w:val="28"/>
          <w:szCs w:val="28"/>
        </w:rPr>
      </w:pPr>
    </w:p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7841B9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F7404">
        <w:rPr>
          <w:color w:val="000000" w:themeColor="text1"/>
        </w:rPr>
        <w:t>24</w:t>
      </w:r>
      <w:r>
        <w:rPr>
          <w:color w:val="000000" w:themeColor="text1"/>
        </w:rPr>
        <w:t>.</w:t>
      </w:r>
      <w:r w:rsidR="00EF7404">
        <w:rPr>
          <w:color w:val="000000" w:themeColor="text1"/>
        </w:rPr>
        <w:t>03</w:t>
      </w:r>
      <w:r>
        <w:rPr>
          <w:color w:val="000000" w:themeColor="text1"/>
        </w:rPr>
        <w:t>.202</w:t>
      </w:r>
      <w:r w:rsidR="00EF7404">
        <w:rPr>
          <w:color w:val="000000" w:themeColor="text1"/>
        </w:rPr>
        <w:t>2</w:t>
      </w:r>
      <w:r>
        <w:rPr>
          <w:color w:val="000000" w:themeColor="text1"/>
        </w:rPr>
        <w:t xml:space="preserve">  № </w:t>
      </w:r>
      <w:r w:rsidR="00EF7404">
        <w:rPr>
          <w:color w:val="000000" w:themeColor="text1"/>
        </w:rPr>
        <w:t>36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2021 – 2023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2021 – 2023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37649B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2021- 2023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- 2021год  – 8</w:t>
            </w:r>
            <w:r w:rsidR="00EF74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347,2;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- 2022 год – </w:t>
            </w:r>
            <w:r w:rsidR="0037649B">
              <w:rPr>
                <w:color w:val="000000" w:themeColor="text1"/>
              </w:rPr>
              <w:t>14</w:t>
            </w:r>
            <w:r w:rsidR="00EF7404">
              <w:rPr>
                <w:color w:val="000000" w:themeColor="text1"/>
              </w:rPr>
              <w:t xml:space="preserve"> </w:t>
            </w:r>
            <w:r w:rsidR="0037649B">
              <w:rPr>
                <w:color w:val="000000" w:themeColor="text1"/>
              </w:rPr>
              <w:t>646,5</w:t>
            </w:r>
            <w:r>
              <w:rPr>
                <w:color w:val="000000" w:themeColor="text1"/>
              </w:rPr>
              <w:t>;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- 2023 год -  6</w:t>
            </w:r>
            <w:r w:rsidR="00EF74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238,3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37649B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более20просветительских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2021 – 2023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50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4</w:t>
      </w:r>
      <w:r>
        <w:rPr>
          <w:color w:val="000000" w:themeColor="text1"/>
        </w:rPr>
        <w:t xml:space="preserve">. Сохранение объектов культурного </w:t>
      </w:r>
      <w:r w:rsidR="00E616D0">
        <w:rPr>
          <w:color w:val="000000" w:themeColor="text1"/>
        </w:rPr>
        <w:t>наследия</w:t>
      </w:r>
      <w:r>
        <w:rPr>
          <w:color w:val="000000" w:themeColor="text1"/>
        </w:rPr>
        <w:t>.</w:t>
      </w:r>
    </w:p>
    <w:p w:rsidR="0021717F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по ремонту восстановлению памятника «Братская могила советских воинов, погибших в Сталинградской</w:t>
      </w:r>
      <w:r w:rsidR="00E616D0">
        <w:rPr>
          <w:color w:val="000000" w:themeColor="text1"/>
        </w:rPr>
        <w:t xml:space="preserve"> битве в </w:t>
      </w:r>
      <w:proofErr w:type="spellStart"/>
      <w:r w:rsidR="00E616D0">
        <w:rPr>
          <w:color w:val="000000" w:themeColor="text1"/>
        </w:rPr>
        <w:t>х</w:t>
      </w:r>
      <w:proofErr w:type="gramStart"/>
      <w:r w:rsidR="00E616D0">
        <w:rPr>
          <w:color w:val="000000" w:themeColor="text1"/>
        </w:rPr>
        <w:t>.Р</w:t>
      </w:r>
      <w:proofErr w:type="gramEnd"/>
      <w:r w:rsidR="00E616D0">
        <w:rPr>
          <w:color w:val="000000" w:themeColor="text1"/>
        </w:rPr>
        <w:t>юмино</w:t>
      </w:r>
      <w:proofErr w:type="spellEnd"/>
      <w:r w:rsidR="00E616D0">
        <w:rPr>
          <w:color w:val="000000" w:themeColor="text1"/>
        </w:rPr>
        <w:t>-Красноярский» и</w:t>
      </w:r>
      <w:r w:rsidR="0021717F" w:rsidRPr="00351332">
        <w:t xml:space="preserve"> памятника </w:t>
      </w:r>
      <w:r w:rsidR="0021717F" w:rsidRPr="00351332">
        <w:rPr>
          <w:color w:val="000000" w:themeColor="text1"/>
        </w:rPr>
        <w:t xml:space="preserve">«Братская могила советских воинов, погибших в период Сталинградской битвы в  </w:t>
      </w:r>
      <w:proofErr w:type="spellStart"/>
      <w:r w:rsidR="0021717F" w:rsidRPr="00351332">
        <w:rPr>
          <w:color w:val="000000" w:themeColor="text1"/>
        </w:rPr>
        <w:t>х.Камыши</w:t>
      </w:r>
      <w:proofErr w:type="spellEnd"/>
      <w:r w:rsidR="0021717F" w:rsidRPr="00351332">
        <w:rPr>
          <w:color w:val="000000" w:themeColor="text1"/>
        </w:rPr>
        <w:t>»</w:t>
      </w:r>
      <w:r w:rsidR="00E616D0">
        <w:rPr>
          <w:color w:val="000000" w:themeColor="text1"/>
        </w:rPr>
        <w:t>.</w:t>
      </w:r>
    </w:p>
    <w:p w:rsidR="00EF7404" w:rsidRDefault="00EF7404">
      <w:pPr>
        <w:jc w:val="both"/>
        <w:rPr>
          <w:color w:val="000000" w:themeColor="text1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141"/>
        <w:gridCol w:w="1128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494511">
        <w:trPr>
          <w:trHeight w:val="92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Pr="00FA79F5" w:rsidRDefault="007841B9" w:rsidP="00FA79F5">
            <w:pPr>
              <w:widowControl w:val="0"/>
              <w:rPr>
                <w:color w:val="000000" w:themeColor="text1"/>
              </w:rPr>
            </w:pPr>
            <w:r w:rsidRPr="00FA79F5">
              <w:rPr>
                <w:color w:val="000000" w:themeColor="text1"/>
              </w:rPr>
              <w:t xml:space="preserve">Изготовление проектно-сметной документации для </w:t>
            </w:r>
            <w:bookmarkStart w:id="0" w:name="_GoBack"/>
            <w:bookmarkEnd w:id="0"/>
            <w:r w:rsidRPr="00FA79F5">
              <w:rPr>
                <w:color w:val="000000" w:themeColor="text1"/>
              </w:rPr>
              <w:t>реконструкции</w:t>
            </w:r>
            <w:r w:rsidR="00494511" w:rsidRPr="00FA79F5">
              <w:rPr>
                <w:color w:val="000000" w:themeColor="text1"/>
              </w:rPr>
              <w:t xml:space="preserve"> здания </w:t>
            </w:r>
            <w:r w:rsidR="00FA79F5" w:rsidRPr="00FA79F5">
              <w:rPr>
                <w:color w:val="2C2D2E"/>
                <w:shd w:val="clear" w:color="auto" w:fill="FFFFFF"/>
              </w:rPr>
              <w:t>МКУК «Ц</w:t>
            </w:r>
            <w:r w:rsidR="00FA79F5">
              <w:rPr>
                <w:color w:val="2C2D2E"/>
                <w:shd w:val="clear" w:color="auto" w:fill="FFFFFF"/>
              </w:rPr>
              <w:t>СКР</w:t>
            </w:r>
            <w:r w:rsidR="00FA79F5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979DD" w:rsidTr="00D2645C">
        <w:trPr>
          <w:trHeight w:val="9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</w:t>
            </w:r>
            <w:r>
              <w:rPr>
                <w:color w:val="000000" w:themeColor="text1"/>
              </w:rPr>
              <w:t>.</w:t>
            </w: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проектно-сметной документации для реконструкции</w:t>
            </w:r>
            <w:r w:rsidR="00494511">
              <w:rPr>
                <w:color w:val="000000" w:themeColor="text1"/>
              </w:rPr>
              <w:t xml:space="preserve"> здания </w:t>
            </w:r>
            <w:r w:rsidR="00FA79F5" w:rsidRPr="00FA79F5">
              <w:rPr>
                <w:color w:val="2C2D2E"/>
                <w:shd w:val="clear" w:color="auto" w:fill="FFFFFF"/>
              </w:rPr>
              <w:t>МКУК «Ц</w:t>
            </w:r>
            <w:r w:rsidR="00FA79F5">
              <w:rPr>
                <w:color w:val="2C2D2E"/>
                <w:shd w:val="clear" w:color="auto" w:fill="FFFFFF"/>
              </w:rPr>
              <w:t>СКР</w:t>
            </w:r>
            <w:r w:rsidR="00FA79F5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40,0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40,0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9DD" w:rsidRDefault="003979DD" w:rsidP="00D2645C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979DD" w:rsidTr="00E616D0">
        <w:trPr>
          <w:trHeight w:val="80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49451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и автономный источник теплоснабжения</w:t>
            </w:r>
            <w:r w:rsidR="00494511">
              <w:rPr>
                <w:color w:val="000000" w:themeColor="text1"/>
              </w:rPr>
              <w:t xml:space="preserve"> здания </w:t>
            </w:r>
            <w:r w:rsidR="00FA79F5" w:rsidRPr="00FA79F5">
              <w:rPr>
                <w:color w:val="2C2D2E"/>
                <w:shd w:val="clear" w:color="auto" w:fill="FFFFFF"/>
              </w:rPr>
              <w:t>МКУК «Ц</w:t>
            </w:r>
            <w:r w:rsidR="00FA79F5">
              <w:rPr>
                <w:color w:val="2C2D2E"/>
                <w:shd w:val="clear" w:color="auto" w:fill="FFFFFF"/>
              </w:rPr>
              <w:t>СКР</w:t>
            </w:r>
            <w:r w:rsidR="00FA79F5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4</w:t>
            </w:r>
            <w:r w:rsidR="00EF7404">
              <w:t xml:space="preserve"> </w:t>
            </w:r>
            <w:r>
              <w:t>800,00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4" w:space="0" w:color="auto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auto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4" w:space="0" w:color="auto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4</w:t>
            </w:r>
            <w:r w:rsidR="00EF7404">
              <w:t xml:space="preserve"> </w:t>
            </w:r>
            <w:r>
              <w:t>800,00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79DD" w:rsidRDefault="003979DD" w:rsidP="00D2645C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7841B9" w:rsidTr="00E616D0">
        <w:trPr>
          <w:trHeight w:val="1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3979DD" w:rsidP="00494511">
            <w:pPr>
              <w:widowControl w:val="0"/>
              <w:rPr>
                <w:color w:val="000000" w:themeColor="text1"/>
              </w:rPr>
            </w:pPr>
            <w:r>
              <w:lastRenderedPageBreak/>
              <w:t xml:space="preserve">   4</w:t>
            </w:r>
            <w:r w:rsidR="00494511">
              <w:t>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7841B9" w:rsidP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841B9" w:rsidRDefault="002E7DB0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2E7DB0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E616D0">
        <w:trPr>
          <w:trHeight w:val="19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D706F7" w:rsidP="003979DD">
            <w:pPr>
              <w:widowControl w:val="0"/>
              <w:rPr>
                <w:color w:val="000000" w:themeColor="text1"/>
              </w:rPr>
            </w:pPr>
            <w:r>
              <w:t xml:space="preserve">   </w:t>
            </w:r>
            <w:r w:rsidR="003979DD">
              <w:t>5</w:t>
            </w:r>
            <w:r w:rsidR="00494511">
              <w:t>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D706F7">
            <w:pPr>
              <w:widowControl w:val="0"/>
              <w:jc w:val="center"/>
              <w:rPr>
                <w:color w:val="000000" w:themeColor="text1"/>
              </w:rPr>
            </w:pPr>
            <w:r>
              <w:t>2</w:t>
            </w:r>
            <w:r w:rsidR="00EF7404">
              <w:t xml:space="preserve"> </w:t>
            </w:r>
            <w:r>
              <w:t>221,8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D706F7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EF7404">
              <w:rPr>
                <w:spacing w:val="-6"/>
              </w:rPr>
              <w:t xml:space="preserve"> </w:t>
            </w:r>
            <w:r>
              <w:rPr>
                <w:spacing w:val="-6"/>
              </w:rPr>
              <w:t>066,8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2E7DB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7841B9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6C425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6C425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83403E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периодических изданий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3403E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3403E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7500E">
        <w:trPr>
          <w:trHeight w:val="16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76294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4. Сохранение объектов культурного наследия</w:t>
            </w:r>
          </w:p>
        </w:tc>
      </w:tr>
      <w:tr w:rsidR="0076294A" w:rsidTr="0076294A">
        <w:trPr>
          <w:trHeight w:val="7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E616D0">
            <w:pPr>
              <w:widowControl w:val="0"/>
              <w:rPr>
                <w:color w:val="000000" w:themeColor="text1"/>
              </w:rPr>
            </w:pPr>
            <w:r>
              <w:t xml:space="preserve">Ремонтно- восстановительные работы </w:t>
            </w:r>
            <w:r>
              <w:rPr>
                <w:color w:val="000000" w:themeColor="text1"/>
              </w:rPr>
              <w:t xml:space="preserve">«Братская могила советских воинов, погибших в Сталинградской битве в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юмино</w:t>
            </w:r>
            <w:proofErr w:type="spellEnd"/>
            <w:r>
              <w:rPr>
                <w:color w:val="000000" w:themeColor="text1"/>
              </w:rPr>
              <w:t>-Красноярский»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1620,00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180,00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76294A">
        <w:trPr>
          <w:trHeight w:val="4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76294A">
        <w:trPr>
          <w:trHeight w:val="49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76294A">
        <w:trPr>
          <w:trHeight w:val="45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Pr="00351332" w:rsidRDefault="0076294A" w:rsidP="00E616D0">
            <w:pPr>
              <w:widowControl w:val="0"/>
              <w:rPr>
                <w:color w:val="000000" w:themeColor="text1"/>
              </w:rPr>
            </w:pPr>
            <w:r w:rsidRPr="00351332">
              <w:t xml:space="preserve">Ремонтно-восстановительные работы памятника </w:t>
            </w:r>
            <w:r w:rsidRPr="00351332">
              <w:rPr>
                <w:color w:val="000000" w:themeColor="text1"/>
              </w:rPr>
              <w:t xml:space="preserve">«Братская могила советских воинов, погибших в период Сталинградской битвы в  </w:t>
            </w:r>
            <w:proofErr w:type="spellStart"/>
            <w:r w:rsidRPr="00351332">
              <w:rPr>
                <w:color w:val="000000" w:themeColor="text1"/>
              </w:rPr>
              <w:t>х</w:t>
            </w:r>
            <w:proofErr w:type="gramStart"/>
            <w:r w:rsidRPr="00351332">
              <w:rPr>
                <w:color w:val="000000" w:themeColor="text1"/>
              </w:rPr>
              <w:t>.К</w:t>
            </w:r>
            <w:proofErr w:type="gramEnd"/>
            <w:r w:rsidRPr="00351332">
              <w:rPr>
                <w:color w:val="000000" w:themeColor="text1"/>
              </w:rPr>
              <w:t>амыши</w:t>
            </w:r>
            <w:proofErr w:type="spellEnd"/>
            <w:r w:rsidRPr="00351332">
              <w:rPr>
                <w:color w:val="000000" w:themeColor="text1"/>
              </w:rPr>
              <w:t>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FF0000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76294A">
        <w:trPr>
          <w:trHeight w:val="4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1350,00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150,00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76294A">
        <w:trPr>
          <w:trHeight w:val="49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91E69" w:rsidRDefault="007841B9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2021год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C425A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29 232,0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6C425A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4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4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C425A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29 232,0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14 646,5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</w:t>
      </w:r>
      <w:r w:rsidR="006C425A">
        <w:rPr>
          <w:color w:val="000000" w:themeColor="text1"/>
        </w:rPr>
        <w:t xml:space="preserve"> </w:t>
      </w:r>
      <w:r>
        <w:rPr>
          <w:color w:val="000000" w:themeColor="text1"/>
        </w:rPr>
        <w:t>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284"/>
        <w:gridCol w:w="1560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6C425A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6C425A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</w:tr>
      <w:tr w:rsidR="00C91E69" w:rsidTr="006C425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r w:rsidR="00E616D0">
              <w:rPr>
                <w:b/>
                <w:bCs/>
                <w:color w:val="000000" w:themeColor="text1"/>
              </w:rPr>
              <w:t xml:space="preserve"> 1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 w:rsidP="00EF74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C425A">
            <w:pPr>
              <w:widowControl w:val="0"/>
              <w:jc w:val="center"/>
              <w:rPr>
                <w:bCs/>
              </w:rPr>
            </w:pPr>
            <w:r>
              <w:t>2</w:t>
            </w:r>
            <w:r w:rsidR="00EF7404">
              <w:t xml:space="preserve"> </w:t>
            </w:r>
            <w:r>
              <w:t>762,5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498,8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6C425A">
            <w:pPr>
              <w:widowControl w:val="0"/>
              <w:jc w:val="center"/>
              <w:rPr>
                <w:color w:val="000000" w:themeColor="text1"/>
              </w:rPr>
            </w:pPr>
            <w:r>
              <w:t>2</w:t>
            </w:r>
            <w:r w:rsidR="00EF7404">
              <w:t xml:space="preserve"> </w:t>
            </w:r>
            <w:r>
              <w:t>168,7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95,0</w:t>
            </w:r>
          </w:p>
        </w:tc>
      </w:tr>
      <w:tr w:rsidR="00EF7404" w:rsidTr="00D2645C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04" w:rsidRDefault="00EF7404" w:rsidP="00D2645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F7404" w:rsidRDefault="00EF7404" w:rsidP="00D2645C">
            <w:pPr>
              <w:widowControl w:val="0"/>
              <w:rPr>
                <w:bCs/>
              </w:rPr>
            </w:pPr>
          </w:p>
          <w:p w:rsidR="00EF7404" w:rsidRDefault="00EF7404" w:rsidP="00D2645C">
            <w:pPr>
              <w:widowControl w:val="0"/>
              <w:rPr>
                <w:bCs/>
              </w:rPr>
            </w:pPr>
          </w:p>
          <w:p w:rsidR="00EF7404" w:rsidRDefault="00EF7404" w:rsidP="00D2645C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04" w:rsidRDefault="00EF7404" w:rsidP="00EF7404">
            <w:pPr>
              <w:widowControl w:val="0"/>
              <w:rPr>
                <w:color w:val="000000" w:themeColor="text1"/>
              </w:rPr>
            </w:pPr>
            <w:r w:rsidRPr="00EF7404">
              <w:t xml:space="preserve">Реконструкция  и автономный источник теплоснабжения </w:t>
            </w:r>
            <w:r>
              <w:t>здания</w:t>
            </w:r>
            <w:r w:rsidR="00494511">
              <w:t xml:space="preserve"> </w:t>
            </w:r>
            <w:r w:rsidR="00E616D0" w:rsidRPr="00FA79F5">
              <w:rPr>
                <w:color w:val="2C2D2E"/>
                <w:shd w:val="clear" w:color="auto" w:fill="FFFFFF"/>
              </w:rPr>
              <w:t>МКУК «Ц</w:t>
            </w:r>
            <w:r w:rsidR="00E616D0">
              <w:rPr>
                <w:color w:val="2C2D2E"/>
                <w:shd w:val="clear" w:color="auto" w:fill="FFFFFF"/>
              </w:rPr>
              <w:t>СКР</w:t>
            </w:r>
            <w:r w:rsidR="00E616D0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bCs/>
              </w:rPr>
            </w:pPr>
            <w:r>
              <w:t>4 800,00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4 800,00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04" w:rsidRDefault="00EF7404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</w:tr>
      <w:tr w:rsidR="00C91E69" w:rsidTr="006C425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Задача</w:t>
            </w:r>
            <w:r w:rsidR="00E616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170,4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57,3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B365F8">
            <w:pPr>
              <w:widowControl w:val="0"/>
              <w:rPr>
                <w:color w:val="000000" w:themeColor="text1"/>
              </w:rPr>
            </w:pPr>
            <w:r>
              <w:t xml:space="preserve">    53,1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rPr>
                <w:color w:val="000000" w:themeColor="text1"/>
              </w:rPr>
            </w:pPr>
            <w:r>
              <w:t xml:space="preserve">   60,0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 xml:space="preserve"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</w:t>
      </w:r>
      <w:r>
        <w:rPr>
          <w:rFonts w:eastAsia="Calibri"/>
          <w:color w:val="000000" w:themeColor="text1"/>
          <w:lang w:eastAsia="en-US"/>
        </w:rPr>
        <w:lastRenderedPageBreak/>
        <w:t>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9. Методика эффективности расчета целевых индикаторов</w:t>
      </w:r>
    </w:p>
    <w:p w:rsidR="00C91E69" w:rsidRDefault="00C91E69">
      <w:pPr>
        <w:ind w:left="720"/>
        <w:jc w:val="center"/>
        <w:rPr>
          <w:b/>
          <w:color w:val="000000" w:themeColor="text1"/>
        </w:rPr>
      </w:pPr>
    </w:p>
    <w:p w:rsidR="006C425A" w:rsidRDefault="007841B9">
      <w:pPr>
        <w:ind w:firstLine="360"/>
        <w:rPr>
          <w:color w:val="000000" w:themeColor="text1"/>
        </w:rPr>
      </w:pPr>
      <w:r>
        <w:rPr>
          <w:b/>
          <w:color w:val="000000" w:themeColor="text1"/>
        </w:rPr>
        <w:t>Бюджетная эффективность</w:t>
      </w:r>
      <w:r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29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0"/>
        <w:gridCol w:w="709"/>
        <w:gridCol w:w="1134"/>
      </w:tblGrid>
      <w:tr w:rsidR="00C91E69">
        <w:tc>
          <w:tcPr>
            <w:tcW w:w="1100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strike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  <w:vertAlign w:val="subscript"/>
              </w:rPr>
              <w:t>эфф</w:t>
            </w:r>
            <w:proofErr w:type="spellEnd"/>
            <w:r>
              <w:rPr>
                <w:color w:val="000000" w:themeColor="text1"/>
              </w:rPr>
              <w:t>=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110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7841B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     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 xml:space="preserve">Б </w:t>
      </w:r>
      <w:proofErr w:type="spellStart"/>
      <w:r>
        <w:rPr>
          <w:color w:val="000000" w:themeColor="text1"/>
          <w:vertAlign w:val="subscript"/>
        </w:rPr>
        <w:t>эф</w:t>
      </w:r>
      <w:proofErr w:type="gramStart"/>
      <w:r>
        <w:rPr>
          <w:color w:val="000000" w:themeColor="text1"/>
          <w:vertAlign w:val="subscript"/>
        </w:rPr>
        <w:t>ф</w:t>
      </w:r>
      <w:proofErr w:type="spellEnd"/>
      <w:r>
        <w:rPr>
          <w:color w:val="000000" w:themeColor="text1"/>
        </w:rPr>
        <w:t>–</w:t>
      </w:r>
      <w:proofErr w:type="gramEnd"/>
      <w:r>
        <w:rPr>
          <w:color w:val="000000" w:themeColor="text1"/>
        </w:rPr>
        <w:t xml:space="preserve"> бюджетная эффективность реализации Программы;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F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использование бюджетных средств;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P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утвержденный</w:t>
      </w:r>
      <w:proofErr w:type="gramEnd"/>
      <w:r>
        <w:rPr>
          <w:color w:val="000000" w:themeColor="text1"/>
        </w:rPr>
        <w:t xml:space="preserve"> план бюджетных средств.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C91E69" w:rsidRDefault="00C91E69">
      <w:pPr>
        <w:ind w:firstLine="708"/>
        <w:jc w:val="both"/>
        <w:rPr>
          <w:b/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Расчет результативности по каждому показателю</w:t>
      </w:r>
      <w:r>
        <w:rPr>
          <w:color w:val="000000" w:themeColor="text1"/>
        </w:rPr>
        <w:t xml:space="preserve"> проводится по формуле:</w:t>
      </w:r>
    </w:p>
    <w:tbl>
      <w:tblPr>
        <w:tblpPr w:leftFromText="180" w:rightFromText="180" w:vertAnchor="text" w:horzAnchor="margin" w:tblpY="61"/>
        <w:tblW w:w="3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1138"/>
      </w:tblGrid>
      <w:tr w:rsidR="00C91E69">
        <w:tc>
          <w:tcPr>
            <w:tcW w:w="959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proofErr w:type="gramStart"/>
            <w:r>
              <w:rPr>
                <w:color w:val="000000" w:themeColor="text1"/>
                <w:lang w:val="en-US"/>
              </w:rPr>
              <w:t>i</w:t>
            </w:r>
            <w:proofErr w:type="gramEnd"/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где: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</w:t>
      </w:r>
      <w:proofErr w:type="gramStart"/>
      <w:r>
        <w:rPr>
          <w:color w:val="000000" w:themeColor="text1"/>
          <w:lang w:val="en-US"/>
        </w:rPr>
        <w:t>i</w:t>
      </w:r>
      <w:proofErr w:type="gramEnd"/>
      <w:r>
        <w:rPr>
          <w:color w:val="000000" w:themeColor="text1"/>
        </w:rPr>
        <w:t xml:space="preserve"> – степень достижения одного показателя  (процентов);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T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значение показателя;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H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установленное</w:t>
      </w:r>
      <w:proofErr w:type="gramEnd"/>
      <w:r>
        <w:rPr>
          <w:color w:val="000000" w:themeColor="text1"/>
        </w:rPr>
        <w:t xml:space="preserve"> программное целевое значение показателя.</w:t>
      </w:r>
    </w:p>
    <w:p w:rsidR="00C91E69" w:rsidRDefault="00C91E69">
      <w:pPr>
        <w:jc w:val="both"/>
        <w:rPr>
          <w:b/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Расчет результативности реализации Программы в целом</w:t>
      </w:r>
      <w:r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3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593"/>
        <w:gridCol w:w="1134"/>
      </w:tblGrid>
      <w:tr w:rsidR="00C91E69">
        <w:tc>
          <w:tcPr>
            <w:tcW w:w="95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vertAlign w:val="subscript"/>
                <w:lang w:val="en-US"/>
              </w:rPr>
            </w:pPr>
            <w:r>
              <w:rPr>
                <w:color w:val="000000" w:themeColor="text1"/>
                <w:lang w:val="en-US"/>
              </w:rPr>
              <w:t>Ei</w:t>
            </w:r>
            <w:r>
              <w:rPr>
                <w:color w:val="000000" w:themeColor="text1"/>
                <w:vertAlign w:val="subscript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+Ei</w:t>
            </w:r>
            <w:r>
              <w:rPr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…..Ei</w:t>
            </w:r>
            <w:r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результативность</w:t>
      </w:r>
      <w:proofErr w:type="gramEnd"/>
      <w:r>
        <w:rPr>
          <w:color w:val="000000" w:themeColor="text1"/>
        </w:rPr>
        <w:t xml:space="preserve"> реализации Программы (процентов);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количество</w:t>
      </w:r>
      <w:proofErr w:type="gramEnd"/>
      <w:r>
        <w:rPr>
          <w:color w:val="000000" w:themeColor="text1"/>
        </w:rPr>
        <w:t xml:space="preserve"> показателей Программы.</w:t>
      </w:r>
    </w:p>
    <w:p w:rsidR="00C91E69" w:rsidRDefault="00C91E69">
      <w:pPr>
        <w:jc w:val="both"/>
        <w:rPr>
          <w:color w:val="000000" w:themeColor="text1"/>
        </w:rPr>
      </w:pPr>
    </w:p>
    <w:p w:rsidR="00494511" w:rsidRDefault="00494511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43"/>
        <w:gridCol w:w="6323"/>
      </w:tblGrid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80 до 99</w:t>
            </w:r>
          </w:p>
        </w:tc>
      </w:tr>
    </w:tbl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4"/>
        <w:gridCol w:w="6181"/>
      </w:tblGrid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70 до 79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70</w:t>
            </w:r>
          </w:p>
        </w:tc>
      </w:tr>
    </w:tbl>
    <w:p w:rsidR="00C91E69" w:rsidRDefault="00C91E69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:rsidR="00C91E69" w:rsidRDefault="00C91E69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63" w:rsidRDefault="002E3763">
      <w:r>
        <w:separator/>
      </w:r>
    </w:p>
  </w:endnote>
  <w:endnote w:type="continuationSeparator" w:id="0">
    <w:p w:rsidR="002E3763" w:rsidRDefault="002E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9B" w:rsidRDefault="0037649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9B" w:rsidRDefault="0037649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63" w:rsidRDefault="002E3763">
      <w:r>
        <w:separator/>
      </w:r>
    </w:p>
  </w:footnote>
  <w:footnote w:type="continuationSeparator" w:id="0">
    <w:p w:rsidR="002E3763" w:rsidRDefault="002E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55150"/>
    <w:rsid w:val="0021717F"/>
    <w:rsid w:val="002E3763"/>
    <w:rsid w:val="002E7DB0"/>
    <w:rsid w:val="00351332"/>
    <w:rsid w:val="0037649B"/>
    <w:rsid w:val="003979DD"/>
    <w:rsid w:val="00494511"/>
    <w:rsid w:val="006C425A"/>
    <w:rsid w:val="0076294A"/>
    <w:rsid w:val="007841B9"/>
    <w:rsid w:val="008030B6"/>
    <w:rsid w:val="00B365F8"/>
    <w:rsid w:val="00C91E69"/>
    <w:rsid w:val="00D706F7"/>
    <w:rsid w:val="00E616D0"/>
    <w:rsid w:val="00EF7404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DC26-EEA4-44AA-AC55-92B86871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2022-02-03T10:38:00Z</cp:lastPrinted>
  <dcterms:created xsi:type="dcterms:W3CDTF">2022-04-01T11:37:00Z</dcterms:created>
  <dcterms:modified xsi:type="dcterms:W3CDTF">2022-04-11T08:54:00Z</dcterms:modified>
  <dc:language>ru-RU</dc:language>
</cp:coreProperties>
</file>