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C2AA1" w:rsidRDefault="005C2AA1" w:rsidP="005C2AA1">
      <w:pPr>
        <w:jc w:val="right"/>
        <w:rPr>
          <w:b/>
          <w:sz w:val="28"/>
          <w:szCs w:val="28"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E57ACC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</w:t>
      </w:r>
      <w:bookmarkStart w:id="0" w:name="_GoBack"/>
      <w:bookmarkEnd w:id="0"/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</w:t>
      </w:r>
      <w:r w:rsidR="005C2AA1">
        <w:rPr>
          <w:rStyle w:val="100"/>
          <w:b/>
          <w:sz w:val="28"/>
          <w:szCs w:val="28"/>
        </w:rPr>
        <w:t>постановления администрации Ильевского сельского поселения Калачевского муниципального района Волгоградской области №64 от 01.06.2019 года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муниципальных нужд» органом внутреннего муниципального финансового контроля»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5C2AA1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1C54CF" w:rsidRDefault="005C2AA1" w:rsidP="009637A4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C2AA1">
        <w:rPr>
          <w:rStyle w:val="100"/>
          <w:sz w:val="28"/>
          <w:szCs w:val="28"/>
        </w:rPr>
        <w:t>Постановление администрации Ильевского сельского поселения Калачевского муниципального района Волгоградской области №64 от 01.06.2019 года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муниципальных нужд» органом внутреннего муниципального финансового контроля»</w:t>
      </w:r>
      <w:r w:rsidR="0065774B">
        <w:rPr>
          <w:bCs/>
          <w:sz w:val="28"/>
          <w:szCs w:val="28"/>
        </w:rPr>
        <w:t xml:space="preserve"> </w:t>
      </w:r>
      <w:r w:rsidR="001C54CF" w:rsidRPr="00E73C3A">
        <w:rPr>
          <w:bCs/>
          <w:sz w:val="28"/>
          <w:szCs w:val="28"/>
        </w:rPr>
        <w:t>отменить.</w:t>
      </w:r>
    </w:p>
    <w:p w:rsidR="00E73C3A" w:rsidRPr="00E73C3A" w:rsidRDefault="00E73C3A" w:rsidP="00E73C3A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E763F">
        <w:rPr>
          <w:bCs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распростр</w:t>
      </w:r>
      <w:r w:rsidR="003A74DD">
        <w:rPr>
          <w:color w:val="000000"/>
          <w:sz w:val="28"/>
          <w:szCs w:val="28"/>
        </w:rPr>
        <w:t>аняет свое действие с 01.01.2020</w:t>
      </w:r>
      <w:r>
        <w:rPr>
          <w:color w:val="000000"/>
          <w:sz w:val="28"/>
          <w:szCs w:val="28"/>
        </w:rPr>
        <w:t xml:space="preserve"> года.</w:t>
      </w:r>
    </w:p>
    <w:p w:rsidR="001C54CF" w:rsidRDefault="005C2AA1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 w:rsidRPr="005C2AA1">
        <w:rPr>
          <w:b/>
          <w:sz w:val="28"/>
          <w:szCs w:val="28"/>
        </w:rPr>
        <w:t>3</w:t>
      </w:r>
      <w:r w:rsidR="001C54CF" w:rsidRPr="005C2AA1">
        <w:rPr>
          <w:b/>
          <w:sz w:val="28"/>
          <w:szCs w:val="28"/>
        </w:rPr>
        <w:t>.</w:t>
      </w:r>
      <w:r w:rsidR="001C54CF">
        <w:rPr>
          <w:sz w:val="28"/>
          <w:szCs w:val="28"/>
        </w:rPr>
        <w:t xml:space="preserve">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428A1B3C"/>
    <w:lvl w:ilvl="0" w:tplc="570AA8D8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C2AA1"/>
    <w:rsid w:val="005D3C8A"/>
    <w:rsid w:val="005E642C"/>
    <w:rsid w:val="005E79E1"/>
    <w:rsid w:val="00602D40"/>
    <w:rsid w:val="006157F2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9A38CD"/>
    <w:rsid w:val="009E1FED"/>
    <w:rsid w:val="00A0324E"/>
    <w:rsid w:val="00A91ECE"/>
    <w:rsid w:val="00AC1CAB"/>
    <w:rsid w:val="00AC7DC9"/>
    <w:rsid w:val="00AD429C"/>
    <w:rsid w:val="00AF4AC6"/>
    <w:rsid w:val="00AF5A50"/>
    <w:rsid w:val="00B0001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ACC"/>
    <w:rsid w:val="00E57BAA"/>
    <w:rsid w:val="00E73C3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  <w:style w:type="character" w:customStyle="1" w:styleId="100">
    <w:name w:val="Основной текст + 10"/>
    <w:aliases w:val="5 pt"/>
    <w:rsid w:val="005C2AA1"/>
    <w:rPr>
      <w:rFonts w:ascii="Times New Roman" w:hAnsi="Times New Roman" w:cs="Times New Roman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F9AA-4DC1-45DB-92F0-4AB1CEAB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4</cp:revision>
  <cp:lastPrinted>2020-02-12T09:13:00Z</cp:lastPrinted>
  <dcterms:created xsi:type="dcterms:W3CDTF">2020-01-23T12:05:00Z</dcterms:created>
  <dcterms:modified xsi:type="dcterms:W3CDTF">2020-02-12T09:13:00Z</dcterms:modified>
</cp:coreProperties>
</file>