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ИЛЬЕВСКОГО СЕЛЬСКОГО ПОСЕЛЕНИЯ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ВОЛГОГРАДСКОЙ ОБЛАСТИ</w:t>
      </w:r>
    </w:p>
    <w:tbl>
      <w:tblPr>
        <w:tblW w:w="10091" w:type="dxa"/>
        <w:jc w:val="left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>
        <w:trPr>
          <w:trHeight w:val="100" w:hRule="atLeast"/>
        </w:trPr>
        <w:tc>
          <w:tcPr>
            <w:tcW w:w="10091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pacing w:val="20"/>
          <w:sz w:val="28"/>
        </w:rPr>
        <w:t xml:space="preserve"> </w:t>
      </w:r>
      <w:r>
        <w:rPr>
          <w:rFonts w:eastAsia="Times New Roman" w:ascii="Times New Roman" w:hAnsi="Times New Roman"/>
          <w:b/>
          <w:spacing w:val="20"/>
          <w:sz w:val="28"/>
        </w:rPr>
        <w:t>10</w:t>
      </w:r>
      <w:r>
        <w:rPr>
          <w:rFonts w:ascii="Times New Roman" w:hAnsi="Times New Roman"/>
          <w:b/>
          <w:spacing w:val="20"/>
          <w:sz w:val="28"/>
        </w:rPr>
        <w:t>.</w:t>
      </w:r>
      <w:r>
        <w:rPr>
          <w:rFonts w:ascii="Times New Roman" w:hAnsi="Times New Roman"/>
          <w:b/>
          <w:spacing w:val="20"/>
          <w:sz w:val="28"/>
        </w:rPr>
        <w:t>12</w:t>
      </w:r>
      <w:r>
        <w:rPr>
          <w:rFonts w:ascii="Times New Roman" w:hAnsi="Times New Roman"/>
          <w:b/>
          <w:spacing w:val="20"/>
          <w:sz w:val="28"/>
        </w:rPr>
        <w:t>.2025 года                                                                      №</w:t>
      </w:r>
      <w:r>
        <w:rPr>
          <w:rFonts w:ascii="Times New Roman" w:hAnsi="Times New Roman"/>
          <w:b/>
          <w:spacing w:val="20"/>
          <w:sz w:val="28"/>
        </w:rPr>
        <w:t>163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установлении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стоимости и объема услуг, оказываемых по договору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присоединении объекта дорожного сервиса к автомобильной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дороге общего пользования местного значения</w:t>
      </w:r>
    </w:p>
    <w:p>
      <w:pPr>
        <w:pStyle w:val="NormalWeb"/>
        <w:spacing w:lineRule="atLeast" w:line="288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В соответствии с частью 9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14 Федерального закона от 06.10.2003 № 131-ФЗ «Об общих принципах организации местного самоуправления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</w:t>
      </w:r>
      <w:r>
        <w:rPr>
          <w:i w:val="false"/>
          <w:iCs w:val="false"/>
          <w:color w:val="000000"/>
          <w:sz w:val="28"/>
          <w:szCs w:val="28"/>
        </w:rPr>
        <w:t>Уставом Ильевского сельского поселения Калачевского муниципального района Волгоградской области</w:t>
      </w:r>
      <w:r>
        <w:rPr>
          <w:i w:val="false"/>
          <w:iCs w:val="false"/>
          <w:sz w:val="28"/>
          <w:szCs w:val="28"/>
        </w:rPr>
        <w:t>, администрация Ильевского сельского поселения Калачевского муниципального района Волгоградской области</w:t>
      </w:r>
    </w:p>
    <w:p>
      <w:pPr>
        <w:pStyle w:val="NormalWeb"/>
        <w:spacing w:beforeAutospacing="0" w:before="0" w:afterAutospacing="0" w:after="0"/>
        <w:ind w:firstLine="708"/>
        <w:jc w:val="both"/>
        <w:rPr>
          <w:b/>
          <w:b/>
          <w:i w:val="false"/>
          <w:i w:val="false"/>
          <w:iCs w:val="false"/>
          <w:sz w:val="28"/>
          <w:szCs w:val="28"/>
        </w:rPr>
      </w:pPr>
      <w:r>
        <w:rPr>
          <w:b/>
          <w:i w:val="false"/>
          <w:iCs w:val="false"/>
          <w:sz w:val="28"/>
          <w:szCs w:val="28"/>
        </w:rPr>
        <w:t>ПОСТАНОВЛЯЕТ:</w:t>
      </w:r>
    </w:p>
    <w:p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hyperlink w:anchor="P29" w:tgtFrame="СТОИМОСТЬ И ОБЪЕМ УСЛУГ, ОКАЗЫВАЕМЫХ ПО ДОГОВОРУ">
        <w:r>
          <w:rPr>
            <w:sz w:val="28"/>
            <w:szCs w:val="28"/>
          </w:rPr>
          <w:t xml:space="preserve">стоимость </w:t>
        </w:r>
      </w:hyperlink>
      <w:r>
        <w:rPr>
          <w:sz w:val="28"/>
          <w:szCs w:val="28"/>
        </w:rPr>
        <w:t xml:space="preserve">услуг, оказываемых по договору о присоединении объектов дорожного сервиса к автомобильным дорогам общего пользования местного значения </w:t>
      </w:r>
      <w:r>
        <w:rPr>
          <w:rFonts w:eastAsia="" w:cs="Times New Roman" w:eastAsiaTheme="minorEastAsia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Ильевского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>, согласно приложению № 1.</w:t>
      </w:r>
    </w:p>
    <w:p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</w:t>
      </w:r>
      <w:hyperlink w:anchor="P29" w:tgtFrame="СТОИМОСТЬ И ОБЪЕМ УСЛУГ, ОКАЗЫВАЕМЫХ ПО ДОГОВОРУ">
        <w:r>
          <w:rPr>
            <w:sz w:val="28"/>
            <w:szCs w:val="28"/>
          </w:rPr>
          <w:t>объем</w:t>
        </w:r>
        <w:r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услуг, оказываемых по договору о присоединении объектов дорожного сервиса к автомобильным дорогам общего пользования местного значения </w:t>
      </w:r>
      <w:r>
        <w:rPr>
          <w:rFonts w:eastAsia="" w:cs="Times New Roman" w:eastAsiaTheme="minorEastAsia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Ильевского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>, согласно приложению № 2</w:t>
      </w:r>
    </w:p>
    <w:p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оставляю за собой.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Ильевского сельского поселения                                     И.В. Горбатова</w:t>
      </w:r>
    </w:p>
    <w:p>
      <w:pPr>
        <w:pStyle w:val="ConsPlusNormal"/>
        <w:jc w:val="both"/>
        <w:rPr>
          <w:b/>
          <w:b/>
          <w:sz w:val="28"/>
          <w:szCs w:val="28"/>
        </w:rPr>
      </w:pPr>
      <w:r>
        <w:rPr/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sz w:val="20"/>
        </w:rPr>
      </w:pPr>
      <w:r>
        <w:rPr>
          <w:sz w:val="20"/>
        </w:rPr>
        <w:t>Приложение № 1</w:t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  <w:t>к постановлению администрации</w:t>
      </w:r>
    </w:p>
    <w:p>
      <w:pPr>
        <w:pStyle w:val="ConsPlusNormal"/>
        <w:jc w:val="right"/>
        <w:rPr>
          <w:rFonts w:ascii="Times New Roman" w:hAnsi="Times New Roman" w:eastAsia="" w:cs="Times New Roman" w:eastAsiaTheme="minorEastAsia"/>
          <w:i w:val="false"/>
          <w:i w:val="false"/>
          <w:iCs w:val="false"/>
          <w:color w:val="auto"/>
          <w:kern w:val="0"/>
          <w:sz w:val="20"/>
          <w:szCs w:val="22"/>
          <w:lang w:val="ru-RU" w:eastAsia="ru-RU" w:bidi="ar-SA"/>
        </w:rPr>
      </w:pPr>
      <w:r>
        <w:rPr>
          <w:rFonts w:eastAsia="" w:cs="Times New Roman" w:eastAsiaTheme="minorEastAsia"/>
          <w:i w:val="false"/>
          <w:iCs w:val="false"/>
          <w:color w:val="auto"/>
          <w:kern w:val="0"/>
          <w:sz w:val="20"/>
          <w:szCs w:val="22"/>
          <w:lang w:val="ru-RU" w:eastAsia="ru-RU" w:bidi="ar-SA"/>
        </w:rPr>
        <w:t xml:space="preserve">Ильевского сельского поселения Калачевского </w:t>
      </w:r>
    </w:p>
    <w:p>
      <w:pPr>
        <w:pStyle w:val="ConsPlusNormal"/>
        <w:jc w:val="right"/>
        <w:rPr>
          <w:rFonts w:ascii="Times New Roman" w:hAnsi="Times New Roman" w:eastAsia="" w:cs="Times New Roman" w:eastAsiaTheme="minorEastAsia"/>
          <w:i w:val="false"/>
          <w:i w:val="false"/>
          <w:iCs w:val="false"/>
          <w:color w:val="auto"/>
          <w:kern w:val="0"/>
          <w:sz w:val="20"/>
          <w:szCs w:val="22"/>
          <w:lang w:val="ru-RU" w:eastAsia="ru-RU" w:bidi="ar-SA"/>
        </w:rPr>
      </w:pPr>
      <w:r>
        <w:rPr>
          <w:rFonts w:eastAsia="" w:cs="Times New Roman" w:eastAsiaTheme="minorEastAsia"/>
          <w:i w:val="false"/>
          <w:iCs w:val="false"/>
          <w:color w:val="auto"/>
          <w:kern w:val="0"/>
          <w:sz w:val="20"/>
          <w:szCs w:val="22"/>
          <w:lang w:val="ru-RU" w:eastAsia="ru-RU" w:bidi="ar-SA"/>
        </w:rPr>
        <w:t>муниципального района Волгоградской области</w:t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  <w:t xml:space="preserve">от </w:t>
      </w:r>
      <w:r>
        <w:rPr>
          <w:sz w:val="20"/>
        </w:rPr>
        <w:t>10.12..</w:t>
      </w:r>
      <w:r>
        <w:rPr>
          <w:sz w:val="20"/>
        </w:rPr>
        <w:t xml:space="preserve">2025 № </w:t>
      </w:r>
      <w:r>
        <w:rPr>
          <w:sz w:val="20"/>
        </w:rPr>
        <w:t>163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center"/>
        <w:rPr/>
      </w:pPr>
      <w:hyperlink w:anchor="P29" w:tgtFrame="СТОИМОСТЬ И ОБЪЕМ УСЛУГ, ОКАЗЫВАЕМЫХ ПО ДОГОВОРУ">
        <w:r>
          <w:rPr>
            <w:b/>
            <w:sz w:val="24"/>
            <w:szCs w:val="24"/>
          </w:rPr>
          <w:t xml:space="preserve">Стоимость </w:t>
        </w:r>
      </w:hyperlink>
      <w:r>
        <w:rPr>
          <w:b/>
          <w:sz w:val="24"/>
          <w:szCs w:val="24"/>
        </w:rPr>
        <w:t xml:space="preserve">услуг, оказываемых по договору о присоединении объектов дорожного сервиса к автомобильным дорогам общего пользования местного значения </w:t>
      </w:r>
      <w:r>
        <w:rPr>
          <w:b/>
          <w:i w:val="false"/>
          <w:iCs w:val="false"/>
          <w:sz w:val="24"/>
          <w:szCs w:val="24"/>
        </w:rPr>
        <w:t>Ильевского сельского поселения Калачевского муниципального района Волгоградской области</w:t>
      </w:r>
    </w:p>
    <w:tbl>
      <w:tblPr>
        <w:tblW w:w="1026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8141"/>
        <w:gridCol w:w="2126"/>
      </w:tblGrid>
      <w:tr>
        <w:trPr/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услуг, расстояние от местонахождения структурного подразделения владельца автомобильной дороги, осуществляющего подготовку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дороге, переходно-скоростных полос и элементов обустройства автомобильной дороги в целях обеспечения безопасности дорожного движения (далее - технические требования и условия), до объекта дорожного сервиса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услуг, руб., без учета налога на добавленную стоимость</w:t>
            </w:r>
          </w:p>
        </w:tc>
      </w:tr>
      <w:tr>
        <w:trPr/>
        <w:tc>
          <w:tcPr>
            <w:tcW w:w="10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объем услуг</w:t>
            </w:r>
          </w:p>
        </w:tc>
      </w:tr>
      <w:tr>
        <w:trPr/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размещении объекта дорожного сервиса в границах полосы отвода автомобильной дороги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53 676</w:t>
            </w:r>
          </w:p>
        </w:tc>
      </w:tr>
      <w:tr>
        <w:trPr/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размещении объекта дорожного сервиса в границах придорожной полосы автомобильной дороги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47 896</w:t>
            </w:r>
          </w:p>
        </w:tc>
      </w:tr>
      <w:tr>
        <w:trPr/>
        <w:tc>
          <w:tcPr>
            <w:tcW w:w="10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объем услуг</w:t>
            </w:r>
          </w:p>
        </w:tc>
      </w:tr>
      <w:tr>
        <w:trPr/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выезд владельца автомобильной дороги на участок для размещения объекта дорожного сервиса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11 927</w:t>
            </w:r>
          </w:p>
        </w:tc>
      </w:tr>
      <w:tr>
        <w:trPr/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базового объема услуг для объекта дорожного сервиса при площади участка для их размещения, превышающего 2000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(на каждые 1000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5312</w:t>
            </w:r>
          </w:p>
        </w:tc>
      </w:tr>
      <w:tr>
        <w:trPr/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изменений в ранее выданные технические требования и условия или продление срока действия ранее выданных технических требований и условий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3 355</w:t>
            </w:r>
          </w:p>
        </w:tc>
      </w:tr>
      <w:tr>
        <w:trPr/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дубликата ранее выданных технических требований и условий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</w:tr>
    </w:tbl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Стоимость услуг, оказываемых по договору о присоединении объекта дорожного сервиса к автомобильной дороге общего пользования местного значения, подлежит ежегодной индексации на каждый текущий год путем умножения на накопленный с 2025 года к текущему году индекс потребительских цен, определяемый в соответствии с прогнозом социально-экономического развития муниципального образования, и рассчитывается по формуле:</w:t>
      </w:r>
    </w:p>
    <w:p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 = C</w:t>
      </w:r>
      <w:r>
        <w:rPr>
          <w:sz w:val="24"/>
          <w:szCs w:val="24"/>
          <w:vertAlign w:val="subscript"/>
        </w:rPr>
        <w:t>2025</w:t>
      </w:r>
      <w:r>
        <w:rPr>
          <w:sz w:val="24"/>
          <w:szCs w:val="24"/>
        </w:rPr>
        <w:t xml:space="preserve"> x ИПЦ</w:t>
      </w:r>
      <w:r>
        <w:rPr>
          <w:sz w:val="24"/>
          <w:szCs w:val="24"/>
          <w:vertAlign w:val="subscript"/>
        </w:rPr>
        <w:t>2026</w:t>
      </w:r>
      <w:r>
        <w:rPr>
          <w:sz w:val="24"/>
          <w:szCs w:val="24"/>
        </w:rPr>
        <w:t xml:space="preserve"> x ... x ИПЦ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>,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 - стоимость услуг, оказываемых по договору о присоединении объекта дорожного сервиса к автомобильной дороге общего пользования местного значения, для i-го года;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2025</w:t>
      </w:r>
      <w:r>
        <w:rPr>
          <w:sz w:val="24"/>
          <w:szCs w:val="24"/>
        </w:rPr>
        <w:t xml:space="preserve"> - стоимость услуг, оказываемых по договору о присоединении объекта дорожного сервиса к автомобильной дороге общего пользования местного значения, до индексации;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ИПЦ - индекс потребительских цен на каждый текущий год, начиная с 2026 года.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  <w:t xml:space="preserve">Приложение № 2 </w:t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  <w:t>к постановлению администрации</w:t>
      </w:r>
    </w:p>
    <w:p>
      <w:pPr>
        <w:pStyle w:val="ConsPlusNormal"/>
        <w:jc w:val="right"/>
        <w:rPr>
          <w:rFonts w:ascii="Times New Roman" w:hAnsi="Times New Roman" w:eastAsia="" w:cs="Times New Roman" w:eastAsiaTheme="minorEastAsia"/>
          <w:i w:val="false"/>
          <w:i w:val="false"/>
          <w:iCs w:val="false"/>
          <w:color w:val="auto"/>
          <w:kern w:val="0"/>
          <w:sz w:val="20"/>
          <w:szCs w:val="22"/>
          <w:lang w:val="ru-RU" w:eastAsia="ru-RU" w:bidi="ar-SA"/>
        </w:rPr>
      </w:pPr>
      <w:r>
        <w:rPr>
          <w:rFonts w:eastAsia="" w:cs="Times New Roman" w:eastAsiaTheme="minorEastAsia"/>
          <w:i w:val="false"/>
          <w:iCs w:val="false"/>
          <w:color w:val="auto"/>
          <w:kern w:val="0"/>
          <w:sz w:val="20"/>
          <w:szCs w:val="22"/>
          <w:lang w:val="ru-RU" w:eastAsia="ru-RU" w:bidi="ar-SA"/>
        </w:rPr>
        <w:t xml:space="preserve">Ильевского сельского поселения Калачевского </w:t>
      </w:r>
    </w:p>
    <w:p>
      <w:pPr>
        <w:pStyle w:val="ConsPlusNormal"/>
        <w:jc w:val="right"/>
        <w:rPr>
          <w:rFonts w:ascii="Times New Roman" w:hAnsi="Times New Roman" w:eastAsia="" w:cs="Times New Roman" w:eastAsiaTheme="minorEastAsia"/>
          <w:i w:val="false"/>
          <w:i w:val="false"/>
          <w:iCs w:val="false"/>
          <w:color w:val="auto"/>
          <w:kern w:val="0"/>
          <w:sz w:val="20"/>
          <w:szCs w:val="22"/>
          <w:lang w:val="ru-RU" w:eastAsia="ru-RU" w:bidi="ar-SA"/>
        </w:rPr>
      </w:pPr>
      <w:r>
        <w:rPr>
          <w:rFonts w:eastAsia="" w:cs="Times New Roman" w:eastAsiaTheme="minorEastAsia"/>
          <w:i w:val="false"/>
          <w:iCs w:val="false"/>
          <w:color w:val="auto"/>
          <w:kern w:val="0"/>
          <w:sz w:val="20"/>
          <w:szCs w:val="22"/>
          <w:lang w:val="ru-RU" w:eastAsia="ru-RU" w:bidi="ar-SA"/>
        </w:rPr>
        <w:t>муниципального района Волгоградской области</w:t>
      </w:r>
    </w:p>
    <w:p>
      <w:pPr>
        <w:pStyle w:val="ConsPlusNormal"/>
        <w:jc w:val="right"/>
        <w:rPr>
          <w:sz w:val="20"/>
        </w:rPr>
      </w:pPr>
      <w:r>
        <w:rPr>
          <w:sz w:val="20"/>
        </w:rPr>
        <w:t xml:space="preserve">от </w:t>
      </w:r>
      <w:r>
        <w:rPr>
          <w:sz w:val="20"/>
        </w:rPr>
        <w:t>10.12..</w:t>
      </w:r>
      <w:r>
        <w:rPr>
          <w:sz w:val="20"/>
        </w:rPr>
        <w:t xml:space="preserve">2025 № </w:t>
      </w:r>
      <w:r>
        <w:rPr>
          <w:sz w:val="20"/>
        </w:rPr>
        <w:t>163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>
          <w:sz w:val="24"/>
          <w:szCs w:val="24"/>
        </w:rPr>
      </w:pPr>
      <w:bookmarkStart w:id="0" w:name="P103"/>
      <w:bookmarkEnd w:id="0"/>
      <w:r>
        <w:rPr>
          <w:rFonts w:cs="Times New Roman" w:ascii="Times New Roman" w:hAnsi="Times New Roman"/>
          <w:sz w:val="24"/>
          <w:szCs w:val="24"/>
        </w:rPr>
        <w:t>Объем</w:t>
      </w:r>
    </w:p>
    <w:p>
      <w:pPr>
        <w:pStyle w:val="ConsPlusTitle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услуг, оказываемых по договору о присоединении объекта</w:t>
      </w:r>
    </w:p>
    <w:p>
      <w:pPr>
        <w:pStyle w:val="ConsPlusTitle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дорожного сервиса к автомобильной дороге общего пользования</w:t>
      </w:r>
    </w:p>
    <w:p>
      <w:pPr>
        <w:pStyle w:val="ConsPlusTitle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местного значения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Базовый объем услуг (применяется для объекта дорожного сервиса при площади участка для его размещения до 2000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включительно):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обработка запроса о выдаче согласия, содержащего технические требования и условия, на размещение объекта дорожного сервиса и (или) подъездов, съездов и примыканий объекта дорожного сервиса к автомобильной дороге, переходно-скоростных полос и элементов обустройства автомобильной дороги в целях обеспечения безопасности дорожного движения (далее соответственно - технические требования и условия, размещение объекта дорожного сервиса);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и объектов дорожного сервиса в районе места производства работ по размещению объекта дорожного сервиса;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технических требований и условий в целях подготовки проектной документации на размещение объекта дорожного сервиса и (или) подъездов, съездов, переходно-скоростных полос и примыканий объекта дорожного сервиса к автомобильной дороге;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выездные работы, включающие в себя выезд владельца автомобильной дороги на место производства работ по размещению объекта дорожного сервиса, до начала таких работ и по их окончании в целях мониторинга соблюдения выполнения выданных технических требований и условий.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Дополнительный объем услуг: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оказании базового объема услуг для объекта дорожного сервиса при площади участка для его размещения, превышающей 2000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(на каждые 1000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один дополнительный выезд владельца автомобильной дороги на место производства работ по размещению объекта дорожного сервиса в целях мониторинга соблюдения выполнения технических требований и условий;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производстве работ по размещению объекта дорожного сервиса, затрагивающих дорожные одежды и искусственные сооружения на автомобильных дорогах, в том числе водопропускные трубы, - не менее одного выезда передвижной дорожной лаборатории владельца автомобильной дороги;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выявлении владельцем автомобильной дороги по окончании производства работ по размещению объекта дорожного сервиса нарушений выданных технических требований и условий владельцем объекта дорожного сервиса - один дополнительный выезд владельца автомобильной дороги для проверки устранения нарушений, а в случаях производства работ по размещению объекта дорожного сервиса, затрагивающих дорожные одежды и искусственные сооружения на автомобильных дорогах, в том числе водопропускные трубы, - один дополнительный выезд передвижной дорожной лаборатории владельца автомобильной дороги;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внесение изменений в ранее выданные технические требования и условия или продление срока действия ранее выданных технических требований и условий (если продление предусмотрено техническими требованиями и условиями);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выдача дубликата ранее выданных технических требований и условий;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выезды владельца автомобильной дороги и передвижной дорожной лаборатории владельца автомобильной дороги на место производства работ по размещению объекта дорожного сервиса.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2"/>
      <w:footerReference w:type="first" r:id="rId3"/>
      <w:type w:val="nextPage"/>
      <w:pgSz w:w="11906" w:h="16838"/>
      <w:pgMar w:left="1133" w:right="566" w:header="0" w:top="709" w:footer="0" w:bottom="851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e65844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e65844"/>
    <w:rPr/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color w:val="auto"/>
      <w:kern w:val="0"/>
      <w:sz w:val="24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18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val="ru-RU" w:eastAsia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e6584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e6584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e65844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LibreOffice/7.1.4.2$Windows_X86_64 LibreOffice_project/a529a4fab45b75fefc5b6226684193eb000654f6</Application>
  <AppVersion>15.0000</AppVersion>
  <Pages>3</Pages>
  <Words>932</Words>
  <Characters>6656</Characters>
  <CharactersWithSpaces>7636</CharactersWithSpaces>
  <Paragraphs>68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2025-11-01T10:00:00Z</dcterms:created>
  <dc:creator>Тулегенова Яна Валерьевна</dc:creator>
  <dc:description/>
  <dc:language>ru-RU</dc:language>
  <cp:lastModifiedBy/>
  <cp:lastPrinted>2025-12-11T09:27:57Z</cp:lastPrinted>
  <dcterms:modified xsi:type="dcterms:W3CDTF">2025-12-11T09:28:45Z</dcterms:modified>
  <cp:revision>4</cp:revision>
  <dc:subject/>
  <dc:title>Приказ Минтранса России от 10.01.2024 N 8
"Об установлении стоимости и объема услуг, оказываемых по договору о присоединении объекта дорожного сервиса к автомобильной дороге общего пользования федерального значения"
(Зарегистрировано в Минюсте России 07.06.2024 N 78498)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