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10098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98"/>
      </w:tblGrid>
      <w:tr>
        <w:trPr>
          <w:trHeight w:val="129" w:hRule="atLeast"/>
        </w:trPr>
        <w:tc>
          <w:tcPr>
            <w:tcW w:w="10098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18.12.2023 года                                                                                                 № 177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Web"/>
        <w:shd w:val="clear" w:color="auto" w:fill="FFFFFF"/>
        <w:spacing w:beforeAutospacing="0" w:before="280" w:afterAutospacing="0" w:after="150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Об утверждении прогнозного плана (программы)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Strong"/>
          <w:sz w:val="28"/>
          <w:szCs w:val="28"/>
        </w:rPr>
        <w:t>приватизации муниципального имущества</w:t>
      </w:r>
      <w:r>
        <w:rPr>
          <w:rStyle w:val="Appleconvertedspace"/>
          <w:b/>
          <w:bCs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Strong"/>
          <w:sz w:val="28"/>
          <w:szCs w:val="28"/>
        </w:rPr>
        <w:t>Ильевского сельского поселения на 2024 год</w:t>
      </w:r>
    </w:p>
    <w:p>
      <w:pPr>
        <w:pStyle w:val="NormalWeb"/>
        <w:shd w:val="clear" w:color="auto" w:fill="FFFFFF"/>
        <w:spacing w:beforeAutospacing="0" w:before="280" w:afterAutospacing="0" w:after="15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 w:themeFill="background1"/>
        <w:spacing w:beforeAutospacing="0" w:before="280" w:afterAutospacing="0"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2010 года № 178-ФЗ "О приватизации государственного и муниципального имущества", от 29 июля 1998 года № 135-ФЗ "Об оценочной деятельности в Российской Федерации", Положением о проведении конкурса по продаже государственного и муниципального имущества, утвержденным постановлением Правительства Российской Федерации от 12 августа 2002 года № 584, </w:t>
      </w:r>
      <w:r>
        <w:rPr>
          <w:sz w:val="28"/>
          <w:szCs w:val="28"/>
          <w:shd w:fill="F9F9F9" w:val="clear"/>
        </w:rPr>
        <w:t xml:space="preserve">Положением о порядке управления и распоряжения муниципальным имуществом Ильевского сельского поселения, утвержденным решением Совета депутатов от 21.12.2016 г. №111, </w:t>
      </w:r>
      <w:r>
        <w:rPr>
          <w:sz w:val="28"/>
          <w:szCs w:val="28"/>
        </w:rPr>
        <w:t>Ильевский сельский Совет</w:t>
      </w:r>
    </w:p>
    <w:p>
      <w:pPr>
        <w:pStyle w:val="1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tLeast" w:line="36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15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прогнозный план приватизации муниципального имущества Ильевского сельского поселения на 2024 год. 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</w:t>
        <w:br/>
        <w:t>обнародования.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И.В. Горбатова                           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right"/>
        <w:textAlignment w:val="baseline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jc w:val="right"/>
        <w:textAlignment w:val="baseline"/>
        <w:rPr>
          <w:sz w:val="18"/>
          <w:szCs w:val="18"/>
        </w:rPr>
      </w:pPr>
      <w:r>
        <w:rPr>
          <w:sz w:val="18"/>
          <w:szCs w:val="18"/>
        </w:rPr>
        <w:t>Утверждено</w:t>
      </w:r>
    </w:p>
    <w:p>
      <w:pPr>
        <w:pStyle w:val="Normal"/>
        <w:shd w:val="clear" w:color="auto" w:fill="FFFFFF"/>
        <w:jc w:val="right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     </w:t>
      </w:r>
      <w:r>
        <w:rPr>
          <w:sz w:val="18"/>
          <w:szCs w:val="18"/>
        </w:rPr>
        <w:t xml:space="preserve">Решением Ильевского сельского Совета </w:t>
      </w:r>
    </w:p>
    <w:p>
      <w:pPr>
        <w:pStyle w:val="Normal"/>
        <w:shd w:val="clear" w:color="auto" w:fill="FFFFFF"/>
        <w:jc w:val="right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                                                             </w:t>
      </w:r>
      <w:r>
        <w:rPr>
          <w:sz w:val="18"/>
          <w:szCs w:val="18"/>
        </w:rPr>
        <w:t xml:space="preserve">от 18.12.2023 года № 177 </w:t>
      </w:r>
    </w:p>
    <w:p>
      <w:pPr>
        <w:pStyle w:val="Normal"/>
        <w:shd w:val="clear" w:color="auto" w:fill="FFFFFF"/>
        <w:spacing w:lineRule="atLeast" w:line="360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280" w:afterAutospacing="0" w:after="15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  <w:br/>
        <w:t>приватизации муниципального имущества</w:t>
        <w:br/>
        <w:t>Ильевского сельского поселения на 2024 год</w:t>
      </w:r>
    </w:p>
    <w:p>
      <w:pPr>
        <w:pStyle w:val="NormalWeb"/>
        <w:shd w:val="clear" w:color="auto" w:fill="FFFFFF"/>
        <w:ind w:left="708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Введение</w:t>
      </w:r>
    </w:p>
    <w:p>
      <w:pPr>
        <w:pStyle w:val="NormalWeb"/>
        <w:shd w:val="clear" w:color="auto" w:fill="FFFFFF" w:themeFill="background1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Ильевского сельского поселения на 2024 год (далее – Прогнозный план) разработан в соответствии с Федеральными законами от 21 декабря 2010 года № 178-ФЗ "О приватизации государственного и муниципального имущества ", от 29 июля 1998 года, № 135-ФЗ "Об оценочной деятельности в Российской Федерации", Положением о проведении конкурса по продаже государственного и муниципального имущества на аукционе, </w:t>
      </w:r>
      <w:r>
        <w:rPr>
          <w:sz w:val="28"/>
          <w:szCs w:val="28"/>
          <w:shd w:fill="F9F9F9" w:val="clear"/>
        </w:rPr>
        <w:t>Положением о порядке управления и распоряжения муниципальным имуществом Ильевского сельского поселения, утвержденным решением Совета депутатов от 21.12.2016 г. №111</w:t>
      </w:r>
    </w:p>
    <w:p>
      <w:pPr>
        <w:pStyle w:val="NormalWeb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прогнозный план устанавливает основные цели, задачи приватизации муниципального имущества в сельском поселении, конкретный перечень муниципального имущества, подлежащего приватизации, и мероприятия по его реализации.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настоящего Прогнозного плана являются: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муниципальной собственности;</w:t>
        <w:br/>
        <w:t>-усилением социальной направленности приватизации;</w:t>
        <w:br/>
        <w:t>- обеспечение планомерности процесса приватизации;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указанных целей приватизации муниципального имущества будет направлена на решение следующих задач: 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структурных преобразований в экономике сельского поселения;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муниципальной собственности;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привлечении инвестиций в процесс приватизации;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пополнение доходов бюджета сельского поселения;</w:t>
        <w:br/>
        <w:t>- уменьшение расходов бюджета сельского поселения на управление муниципальным имуществом;</w:t>
        <w:br/>
        <w:t>- проведение предпродажной подготовки с привлечением аудиторов, оценщиков, финансовых и юридических консультантов;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дифференцированный подход к приватизации предприятий в зависимости от их ликвидности;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выполнения обязательств собственниками приватизируемого имущества.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Перечни муниципального имущества, подлежащего приватизации на 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год.</w:t>
        <w:br/>
        <w:t>В рамках реализации задач по приватизации муниципального имущества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необходимо осуществить продажу объектов недвижимости, согласно приложению 1 к настоящему Прогнозному плану. </w:t>
      </w:r>
    </w:p>
    <w:p>
      <w:pPr>
        <w:pStyle w:val="NormalWeb"/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Основные мероприятия по реализации Прогнозного плана.</w:t>
        <w:br/>
        <w:t>В целях реализации настоящего Прогнозного плана предусматривается проведение следующих мероприятий:</w:t>
        <w:br/>
        <w:t>- государственная регистрация права муниципальной собственности на объекты недвижимости, подлежащие приватизации;</w:t>
        <w:br/>
        <w:t>- формирование земельных участков, занимаемых подлежащими приватизации объектами недвижимости;</w:t>
        <w:br/>
        <w:t>-оценка муниципального имущества;</w:t>
        <w:br/>
        <w:t>-подготовка и утверждение необходимых документов;</w:t>
        <w:br/>
        <w:t>- информационное обеспечение приватизации муниципального имущества;</w:t>
        <w:br/>
        <w:t>- подготовка и проведение конкурсов и аукционов по продаже муниципального имущества, распределение денежных, полученных от приватизации муниципального имущества;</w:t>
        <w:br/>
        <w:t>- государственная регистрация перехода права собственности к новому собственнику;</w:t>
        <w:br/>
        <w:t>- информирование населения об объектах недвижимости, подлежащих приватизации через средства массовой информации и сети Интернет. </w:t>
      </w:r>
    </w:p>
    <w:p>
      <w:pPr>
        <w:pStyle w:val="NormalWeb"/>
        <w:shd w:val="clear" w:color="auto" w:fill="FFFFFF"/>
        <w:jc w:val="both"/>
        <w:rPr/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Определение цены подлежащего приватизации муниципального имущества</w:t>
        <w:br/>
        <w:t>Нормативная цена подлежащего приватизации имущества (минимальная цена, по которой возможно отчуждение этого имущества) определяется в порядке, установленном постановлением Правительства Российской Федерации от 14.02.2006 № 87 "Об утверждении Правил определения нормативной цены подлежащего приватизации государственного или муниципального имущества". </w:t>
      </w:r>
    </w:p>
    <w:p>
      <w:pPr>
        <w:pStyle w:val="Normal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Начальная цена приватизируемого имущества устанавливается в случаях, предусмотренных законом,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  <w:br/>
      </w: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Отчуждение земельных участков.</w:t>
        <w:br/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Финансовое обеспечение выполнения Прогнозного плана.</w:t>
        <w:br/>
        <w:t>Финансирование основных мероприятий по реализации Прогнозного плана осуществляется за счет средств бюджета сельского поселения. </w:t>
      </w:r>
    </w:p>
    <w:p>
      <w:pPr>
        <w:pStyle w:val="NormalWeb"/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Организация контроля за проведением приватизации муниципального имущества.</w:t>
        <w:br/>
        <w:t>Целью контроля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  <w:br/>
        <w:t>Обеспечение выполнения настоящего Прогнозного плана возлагается на Администрацию Ильевского сельского поселения. </w:t>
      </w:r>
    </w:p>
    <w:p>
      <w:pPr>
        <w:pStyle w:val="NormalWeb"/>
        <w:shd w:val="clear" w:color="auto" w:fill="FFFFFF"/>
        <w:spacing w:beforeAutospacing="0" w:before="280" w:afterAutospacing="0" w:after="150"/>
        <w:rPr>
          <w:sz w:val="28"/>
          <w:szCs w:val="28"/>
        </w:rPr>
      </w:pPr>
      <w:r>
        <w:rPr>
          <w:sz w:val="28"/>
          <w:szCs w:val="28"/>
        </w:rPr>
        <w:t>Отчет о результатах приватизации муниципального имущества за 2024 год представляется в Ильевский сельский Совет до 1 марта года следующего за отчетным.</w:t>
      </w:r>
    </w:p>
    <w:p>
      <w:pPr>
        <w:pStyle w:val="NormalWeb"/>
        <w:shd w:val="clear" w:color="auto" w:fill="FFFFFF"/>
        <w:spacing w:beforeAutospacing="0" w:before="280" w:afterAutospacing="0" w:after="1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1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150"/>
        <w:rPr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280" w:afterAutospacing="0" w:after="1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 xml:space="preserve">Приложение 1 </w:t>
      </w:r>
    </w:p>
    <w:p>
      <w:pPr>
        <w:pStyle w:val="NormalWeb"/>
        <w:shd w:val="clear" w:color="auto" w:fill="FFFFFF"/>
        <w:ind w:left="5664" w:hanging="0"/>
        <w:rPr>
          <w:sz w:val="20"/>
          <w:szCs w:val="20"/>
        </w:rPr>
      </w:pPr>
      <w:r>
        <w:rPr>
          <w:sz w:val="20"/>
          <w:szCs w:val="20"/>
        </w:rPr>
        <w:t xml:space="preserve">к Решению Ильевского сельского Совета </w:t>
      </w:r>
    </w:p>
    <w:p>
      <w:pPr>
        <w:pStyle w:val="NormalWeb"/>
        <w:shd w:val="clear" w:color="auto" w:fill="FFFFFF"/>
        <w:ind w:left="4956" w:firstLine="708"/>
        <w:rPr>
          <w:sz w:val="20"/>
          <w:szCs w:val="20"/>
        </w:rPr>
      </w:pPr>
      <w:r>
        <w:rPr>
          <w:sz w:val="20"/>
          <w:szCs w:val="20"/>
        </w:rPr>
        <w:t>от   18.12.2023 года № 177</w:t>
      </w:r>
    </w:p>
    <w:p>
      <w:pPr>
        <w:pStyle w:val="NormalWeb"/>
        <w:shd w:val="clear" w:color="auto" w:fill="FFFFFF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jc w:val="center"/>
        <w:rPr>
          <w:rFonts w:ascii="Tahoma" w:hAnsi="Tahoma" w:cs="Tahoma"/>
          <w:b/>
          <w:b/>
          <w:sz w:val="20"/>
          <w:szCs w:val="20"/>
          <w:shd w:fill="FFFFFF" w:val="clear"/>
        </w:rPr>
      </w:pPr>
      <w:r>
        <w:rPr>
          <w:rFonts w:cs="Tahoma" w:ascii="Tahoma" w:hAnsi="Tahoma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jc w:val="center"/>
        <w:rPr>
          <w:b/>
          <w:b/>
          <w:shd w:fill="FFFFFF" w:val="clear"/>
        </w:rPr>
      </w:pPr>
      <w:r>
        <w:rPr>
          <w:b/>
          <w:shd w:fill="FFFFFF" w:val="clear"/>
        </w:rPr>
        <w:t>МУНИЦИПАЛЬНОЕ ИМУЩЕСТВО, КОТОРОЕ ПЛАНИРУЕТСЯ К ПРИВАТИЗАЦИИ В 2024</w:t>
      </w:r>
      <w:bookmarkStart w:id="0" w:name="_GoBack"/>
      <w:bookmarkEnd w:id="0"/>
      <w:r>
        <w:rPr>
          <w:b/>
          <w:shd w:fill="FFFFFF" w:val="clear"/>
        </w:rPr>
        <w:t xml:space="preserve"> ГОДУ</w:t>
      </w:r>
    </w:p>
    <w:p>
      <w:pPr>
        <w:pStyle w:val="NormalWeb"/>
        <w:shd w:val="clear" w:color="auto" w:fill="FFFFFF"/>
        <w:rPr/>
      </w:pPr>
      <w:r>
        <w:rPr/>
      </w:r>
    </w:p>
    <w:tbl>
      <w:tblPr>
        <w:tblW w:w="9622" w:type="dxa"/>
        <w:jc w:val="center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686"/>
        <w:gridCol w:w="2207"/>
        <w:gridCol w:w="4799"/>
        <w:gridCol w:w="1929"/>
      </w:tblGrid>
      <w:tr>
        <w:trPr/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</w:t>
            </w:r>
          </w:p>
        </w:tc>
      </w:tr>
      <w:tr>
        <w:trPr/>
        <w:tc>
          <w:tcPr>
            <w:tcW w:w="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Незавершенный строительством жилой дом; </w:t>
            </w:r>
            <w:r>
              <w:rPr>
                <w:spacing w:val="2"/>
                <w:sz w:val="24"/>
                <w:szCs w:val="24"/>
              </w:rPr>
              <w:t>назначение: нежилое;</w:t>
            </w:r>
            <w:r>
              <w:rPr>
                <w:iCs/>
                <w:sz w:val="24"/>
                <w:szCs w:val="24"/>
              </w:rPr>
              <w:t xml:space="preserve"> площадь – 613,9 кв.м.; степень готовности – 49%; Инвентарный номер – 216:000167; этажность – 2; кадастровый (или условный) номер – 34-34-07/016/2008-288; с земельным участком, площадью 788 кв.м., кадастровый номер – 34:09:020602:67</w:t>
            </w:r>
          </w:p>
        </w:tc>
        <w:tc>
          <w:tcPr>
            <w:tcW w:w="4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404521, Волгоградская область, Калачевский район, поселок Пятиморск, улица Песчаная, 15</w:t>
            </w:r>
          </w:p>
        </w:tc>
        <w:tc>
          <w:tcPr>
            <w:tcW w:w="1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Autospacing="1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отчету об оценке имущества</w:t>
            </w:r>
          </w:p>
        </w:tc>
      </w:tr>
    </w:tbl>
    <w:p>
      <w:pPr>
        <w:pStyle w:val="NormalWeb"/>
        <w:shd w:val="clear" w:color="auto" w:fill="FFFFFF"/>
        <w:spacing w:beforeAutospacing="0" w:before="280" w:afterAutospacing="0" w:after="1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right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418" w:right="850" w:header="0" w:top="567" w:footer="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9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4d69e8"/>
    <w:pPr>
      <w:keepNext w:val="true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rsid w:val="004d69e8"/>
    <w:rPr>
      <w:color w:val="0000FF"/>
      <w:u w:val="single"/>
    </w:rPr>
  </w:style>
  <w:style w:type="character" w:styleId="Style14" w:customStyle="1">
    <w:name w:val="Текст сноски Знак"/>
    <w:basedOn w:val="DefaultParagraphFont"/>
    <w:qFormat/>
    <w:rsid w:val="00325eda"/>
    <w:rPr/>
  </w:style>
  <w:style w:type="character" w:styleId="Style15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sid w:val="00325eda"/>
    <w:rPr>
      <w:vertAlign w:val="superscript"/>
    </w:rPr>
  </w:style>
  <w:style w:type="character" w:styleId="Appleconvertedspace" w:customStyle="1">
    <w:name w:val="apple-converted-space"/>
    <w:basedOn w:val="DefaultParagraphFont"/>
    <w:qFormat/>
    <w:rsid w:val="00ee4b32"/>
    <w:rPr/>
  </w:style>
  <w:style w:type="character" w:styleId="Strong">
    <w:name w:val="Strong"/>
    <w:basedOn w:val="DefaultParagraphFont"/>
    <w:uiPriority w:val="22"/>
    <w:qFormat/>
    <w:rsid w:val="002b0432"/>
    <w:rPr>
      <w:b/>
      <w:bCs/>
    </w:rPr>
  </w:style>
  <w:style w:type="character" w:styleId="Style16">
    <w:name w:val="Выделение"/>
    <w:basedOn w:val="DefaultParagraphFont"/>
    <w:uiPriority w:val="20"/>
    <w:qFormat/>
    <w:rsid w:val="008902e9"/>
    <w:rPr>
      <w:i/>
      <w:i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e12059"/>
    <w:pPr/>
    <w:rPr>
      <w:rFonts w:ascii="Tahoma" w:hAnsi="Tahoma" w:cs="Tahoma"/>
      <w:sz w:val="16"/>
      <w:szCs w:val="16"/>
    </w:rPr>
  </w:style>
  <w:style w:type="paragraph" w:styleId="11" w:customStyle="1">
    <w:name w:val="Знак1 Знак Знак Знак Знак Знак Знак"/>
    <w:basedOn w:val="Normal"/>
    <w:qFormat/>
    <w:rsid w:val="002b5b90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qFormat/>
    <w:rsid w:val="00c60aa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397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e531bb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Footnote Text"/>
    <w:basedOn w:val="Normal"/>
    <w:rsid w:val="00325eda"/>
    <w:pPr/>
    <w:rPr/>
  </w:style>
  <w:style w:type="paragraph" w:styleId="Formattext" w:customStyle="1">
    <w:name w:val="formattext"/>
    <w:basedOn w:val="Normal"/>
    <w:qFormat/>
    <w:rsid w:val="001c690f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d69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7EE4-8101-4412-917D-3330064B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LibreOffice/7.1.4.2$Windows_X86_64 LibreOffice_project/a529a4fab45b75fefc5b6226684193eb000654f6</Application>
  <AppVersion>15.0000</AppVersion>
  <Pages>5</Pages>
  <Words>880</Words>
  <Characters>6902</Characters>
  <CharactersWithSpaces>8066</CharactersWithSpaces>
  <Paragraphs>55</Paragraphs>
  <Company>AKMR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2023-12-22T06:08:00Z</dcterms:created>
  <dc:creator>Перфилова</dc:creator>
  <dc:description/>
  <dc:language>ru-RU</dc:language>
  <cp:lastModifiedBy/>
  <cp:lastPrinted>2022-01-17T10:30:00Z</cp:lastPrinted>
  <dcterms:modified xsi:type="dcterms:W3CDTF">2024-10-08T13:13:05Z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