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№46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постоянное (бессрочное) пользование», утвержденный постановлением администрации Ильевского сельского поселения Калачевского муниципального района Волгоградской области от 19.06.2019 № 73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постоянное (бессрочное) пользование», утвержденный постановлением администрации Ильевского сельского поселения Калачевского муниципального района Волгоградской области от 19.06.2019 № 73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постоянное (бессрочное) пользование»,  следующие изменения: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.2. </w:t>
      </w:r>
      <w:r>
        <w:rPr>
          <w:rFonts w:ascii="Times New Roman" w:hAnsi="Times New Roman"/>
          <w:color w:val="000000"/>
          <w:sz w:val="28"/>
          <w:szCs w:val="28"/>
        </w:rPr>
        <w:t>абзац 14 пункта 2.15.4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ilievka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ulcraft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.3. пункт 5.2 изложить в следующей редакции: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LibreOffice/7.1.4.2$Windows_X86_64 LibreOffice_project/a529a4fab45b75fefc5b6226684193eb000654f6</Application>
  <AppVersion>15.0000</AppVersion>
  <Pages>2</Pages>
  <Words>483</Words>
  <Characters>3857</Characters>
  <CharactersWithSpaces>4485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2022-04-25T14:46:58Z</cp:lastPrinted>
  <dcterms:modified xsi:type="dcterms:W3CDTF">2022-04-25T14:49:48Z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